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方正仿宋_GBK" w:hAnsi="仿宋_GB2312" w:eastAsia="方正仿宋_GBK" w:cs="仿宋_GB2312"/>
          <w:sz w:val="32"/>
          <w:szCs w:val="32"/>
        </w:rPr>
      </w:pPr>
      <w:bookmarkStart w:id="1" w:name="_GoBack"/>
      <w:r>
        <w:rPr>
          <w:rFonts w:hint="eastAsia" w:ascii="方正仿宋_GBK" w:hAnsi="仿宋_GB2312" w:eastAsia="方正仿宋_GBK" w:cs="仿宋_GB2312"/>
          <w:sz w:val="32"/>
          <w:szCs w:val="32"/>
        </w:rPr>
        <w:t>附件：比选办法具体内容</w:t>
      </w:r>
    </w:p>
    <w:bookmarkEnd w:id="1"/>
    <w:tbl>
      <w:tblPr>
        <w:tblStyle w:val="6"/>
        <w:tblW w:w="8959" w:type="dxa"/>
        <w:jc w:val="center"/>
        <w:tblLayout w:type="autofit"/>
        <w:tblCellMar>
          <w:top w:w="0" w:type="dxa"/>
          <w:left w:w="108" w:type="dxa"/>
          <w:bottom w:w="0" w:type="dxa"/>
          <w:right w:w="108" w:type="dxa"/>
        </w:tblCellMar>
      </w:tblPr>
      <w:tblGrid>
        <w:gridCol w:w="837"/>
        <w:gridCol w:w="1378"/>
        <w:gridCol w:w="5907"/>
        <w:gridCol w:w="837"/>
      </w:tblGrid>
      <w:tr>
        <w:tblPrEx>
          <w:tblCellMar>
            <w:top w:w="0" w:type="dxa"/>
            <w:left w:w="108" w:type="dxa"/>
            <w:bottom w:w="0" w:type="dxa"/>
            <w:right w:w="108" w:type="dxa"/>
          </w:tblCellMar>
        </w:tblPrEx>
        <w:trPr>
          <w:trHeight w:val="84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序号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评审部分</w:t>
            </w:r>
          </w:p>
        </w:tc>
        <w:tc>
          <w:tcPr>
            <w:tcW w:w="5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评审内容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是否通过</w:t>
            </w:r>
          </w:p>
        </w:tc>
      </w:tr>
      <w:tr>
        <w:tblPrEx>
          <w:tblCellMar>
            <w:top w:w="0" w:type="dxa"/>
            <w:left w:w="108" w:type="dxa"/>
            <w:bottom w:w="0" w:type="dxa"/>
            <w:right w:w="108" w:type="dxa"/>
          </w:tblCellMar>
        </w:tblPrEx>
        <w:trPr>
          <w:trHeight w:val="32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资格条件</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本次比选要求设计单位应在“全国投资项目在线审批监管平台”的“工程咨询单位名录”中（备案专业应包括市政公用工程），同时具备建设行业主管部门颁发的市政行业工程设计专业乙级（含乙级）及以上资质（提供有效的营业执照、名录查询截图、资质证书）；</w:t>
            </w:r>
          </w:p>
          <w:p>
            <w:pPr>
              <w:widowControl/>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2、三年（2021年至今）具有不少于3个与本项目类似的设计业绩（以中标通知书或合同为准）；</w:t>
            </w:r>
          </w:p>
          <w:p>
            <w:pPr>
              <w:widowControl/>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3、提供近三年（2021-2023年度，若企业成立不足三年则提供成立以来的财务报表）的经会计师事务所或审计机构审计的财务会计报告；</w:t>
            </w:r>
          </w:p>
          <w:p>
            <w:pPr>
              <w:widowControl/>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4、须按照藏建市管〔2023〕62号完成企业资质信息报送。</w:t>
            </w:r>
          </w:p>
          <w:p>
            <w:pPr>
              <w:widowControl/>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widowControl/>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6、本项目不接受联合体。</w:t>
            </w:r>
          </w:p>
          <w:p>
            <w:pPr>
              <w:widowControl/>
              <w:textAlignment w:val="center"/>
              <w:rPr>
                <w:rFonts w:hint="eastAsia" w:ascii="仿宋_GB2312" w:hAnsi="仿宋_GB2312" w:eastAsia="仿宋_GB2312" w:cs="仿宋_GB2312"/>
                <w:kern w:val="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CellMar>
            <w:top w:w="0" w:type="dxa"/>
            <w:left w:w="108" w:type="dxa"/>
            <w:bottom w:w="0" w:type="dxa"/>
            <w:right w:w="108" w:type="dxa"/>
          </w:tblCellMar>
        </w:tblPrEx>
        <w:trPr>
          <w:trHeight w:val="1295" w:hRule="atLeast"/>
          <w:jc w:val="center"/>
        </w:trPr>
        <w:tc>
          <w:tcPr>
            <w:tcW w:w="89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通过资格条件评审的才能进入详细评审，详细评审总得分100分，分值如下：</w:t>
            </w:r>
          </w:p>
          <w:p>
            <w:pPr>
              <w:widowControl/>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商务部分：24分</w:t>
            </w:r>
          </w:p>
          <w:p>
            <w:pPr>
              <w:widowControl/>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技术部分（设计大纲）：66分</w:t>
            </w:r>
          </w:p>
          <w:p>
            <w:pPr>
              <w:widowControl/>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设计投标报价：10分</w:t>
            </w:r>
          </w:p>
        </w:tc>
      </w:tr>
    </w:tbl>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517"/>
        <w:gridCol w:w="36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Pr>
          <w:p>
            <w:pPr>
              <w:rPr>
                <w:rFonts w:hint="eastAsia" w:ascii="仿宋_GB2312" w:hAnsi="仿宋_GB2312" w:eastAsia="仿宋_GB2312" w:cs="仿宋_GB2312"/>
                <w:kern w:val="0"/>
                <w:sz w:val="24"/>
                <w:szCs w:val="24"/>
              </w:rPr>
            </w:pPr>
            <w:bookmarkStart w:id="0" w:name="_Hlk148612614"/>
            <w:r>
              <w:rPr>
                <w:rFonts w:hint="eastAsia" w:ascii="仿宋_GB2312" w:hAnsi="仿宋_GB2312" w:eastAsia="仿宋_GB2312" w:cs="仿宋_GB2312"/>
                <w:kern w:val="0"/>
                <w:sz w:val="24"/>
                <w:szCs w:val="24"/>
              </w:rPr>
              <w:t>条款号</w:t>
            </w: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评审因素</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评审标准</w:t>
            </w:r>
          </w:p>
        </w:tc>
        <w:tc>
          <w:tcPr>
            <w:tcW w:w="1596" w:type="dxa"/>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846" w:type="dxa"/>
            <w:vMerge w:val="restart"/>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1276" w:type="dxa"/>
            <w:vMerge w:val="restart"/>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商务部分评审（24分）</w:t>
            </w: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人员配置</w:t>
            </w:r>
          </w:p>
        </w:tc>
        <w:tc>
          <w:tcPr>
            <w:tcW w:w="3696" w:type="dxa"/>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1、项目负责人：具有市政类高级职称得3分，中级职称得2分。</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2、技术负责人：具有市政类中级职称得3分。</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3、造价负责人：具有全国注册二级造价工程师证书得4分。</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4、除项目负责人以外，团队配置每增加一名高级职称人员得2分，每增加一名中级职称人员得1分，本项满分3分。</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注：以上要求的执业资格、职称证书复印件，以上证明材料复印件加盖公章。</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46" w:type="dxa"/>
            <w:vMerge w:val="continue"/>
            <w:vAlign w:val="center"/>
          </w:tcPr>
          <w:p>
            <w:pPr>
              <w:rPr>
                <w:rFonts w:hint="eastAsia" w:ascii="仿宋_GB2312" w:hAnsi="仿宋_GB2312" w:eastAsia="仿宋_GB2312" w:cs="仿宋_GB2312"/>
                <w:kern w:val="0"/>
                <w:sz w:val="24"/>
                <w:szCs w:val="24"/>
              </w:rPr>
            </w:pPr>
          </w:p>
        </w:tc>
        <w:tc>
          <w:tcPr>
            <w:tcW w:w="1276" w:type="dxa"/>
            <w:vMerge w:val="continue"/>
          </w:tcPr>
          <w:p>
            <w:pPr>
              <w:rPr>
                <w:rFonts w:hint="eastAsia" w:ascii="仿宋_GB2312" w:hAnsi="仿宋_GB2312" w:eastAsia="仿宋_GB2312" w:cs="仿宋_GB2312"/>
                <w:kern w:val="0"/>
                <w:sz w:val="24"/>
                <w:szCs w:val="24"/>
              </w:rPr>
            </w:pP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履约能力</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提供（2020年1月起至今）的类似项目业绩，具有类似项目整体设计业绩，每提供1项得2分，最高得4分；具有类似项目可行性研究报告编制业绩，每提供1项得2分，最高得4分；不提供者不得分。注：以加盖公章的业绩合同复印件或扫描件为准，时间以业绩合同签订日期为准。</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Merge w:val="continue"/>
            <w:vAlign w:val="center"/>
          </w:tcPr>
          <w:p>
            <w:pPr>
              <w:rPr>
                <w:rFonts w:hint="eastAsia" w:ascii="仿宋_GB2312" w:hAnsi="仿宋_GB2312" w:eastAsia="仿宋_GB2312" w:cs="仿宋_GB2312"/>
                <w:kern w:val="0"/>
                <w:sz w:val="24"/>
                <w:szCs w:val="24"/>
              </w:rPr>
            </w:pPr>
          </w:p>
        </w:tc>
        <w:tc>
          <w:tcPr>
            <w:tcW w:w="1276" w:type="dxa"/>
            <w:vMerge w:val="continue"/>
          </w:tcPr>
          <w:p>
            <w:pPr>
              <w:rPr>
                <w:rFonts w:hint="eastAsia" w:ascii="仿宋_GB2312" w:hAnsi="仿宋_GB2312" w:eastAsia="仿宋_GB2312" w:cs="仿宋_GB2312"/>
                <w:kern w:val="0"/>
                <w:sz w:val="24"/>
                <w:szCs w:val="24"/>
              </w:rPr>
            </w:pP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服务响应承诺</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供应商提供设计服务时间、可行性研究报告编制承诺，可行性研究报告编制、设计全过程服务完善，响应时间积极、满足项目需求，有承诺响应时间的得3分；不提供不得分。</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46" w:type="dxa"/>
            <w:vMerge w:val="restart"/>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1276" w:type="dxa"/>
            <w:vMerge w:val="restart"/>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技术部分（66分）</w:t>
            </w: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项目总体实施方案</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实施方案进行评审，包括但不限于：①工作流程；②技术方案与路线；③编制服务的总体思路和部署；④工作任务与目标；⑤质量控制和效率控制；⑥保密措施；以上全部内容详细合理、符合项目实际需求的得24分，每缺少一项或不满足要求的或方案脱离实际的扣4分，每有一项内容存在缺陷或不足的扣3分，直至扣完为止。</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Merge w:val="continue"/>
            <w:vAlign w:val="center"/>
          </w:tcPr>
          <w:p>
            <w:pPr>
              <w:rPr>
                <w:rFonts w:hint="eastAsia" w:ascii="仿宋_GB2312" w:hAnsi="仿宋_GB2312" w:eastAsia="仿宋_GB2312" w:cs="仿宋_GB2312"/>
                <w:kern w:val="0"/>
                <w:sz w:val="24"/>
                <w:szCs w:val="24"/>
              </w:rPr>
            </w:pPr>
          </w:p>
        </w:tc>
        <w:tc>
          <w:tcPr>
            <w:tcW w:w="1276" w:type="dxa"/>
            <w:vMerge w:val="continue"/>
            <w:vAlign w:val="center"/>
          </w:tcPr>
          <w:p>
            <w:pPr>
              <w:rPr>
                <w:rFonts w:hint="eastAsia" w:ascii="仿宋_GB2312" w:hAnsi="仿宋_GB2312" w:eastAsia="仿宋_GB2312" w:cs="仿宋_GB2312"/>
                <w:kern w:val="0"/>
                <w:sz w:val="24"/>
                <w:szCs w:val="24"/>
              </w:rPr>
            </w:pP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设计方案</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审小组根据供应商提供的符合现行国家技术规范标准的设计方案进行综合评审：包括：①项目理解与分析；②项目设计思路的准确性；③设计初步方案；④重点难点分析；⑤类似工程设计案例研究等；以上5项内容为专门针对本项目编制，符合本项目实际情况，能够保障项目顺利实施的得15分，缺少一项内容扣3分，每有一项内容存在缺陷扣2分，扣完为止。</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46" w:type="dxa"/>
            <w:vMerge w:val="continue"/>
            <w:vAlign w:val="center"/>
          </w:tcPr>
          <w:p>
            <w:pPr>
              <w:rPr>
                <w:rFonts w:hint="eastAsia" w:ascii="仿宋_GB2312" w:hAnsi="仿宋_GB2312" w:eastAsia="仿宋_GB2312" w:cs="仿宋_GB2312"/>
                <w:kern w:val="0"/>
                <w:sz w:val="24"/>
                <w:szCs w:val="24"/>
              </w:rPr>
            </w:pPr>
          </w:p>
        </w:tc>
        <w:tc>
          <w:tcPr>
            <w:tcW w:w="1276" w:type="dxa"/>
            <w:vMerge w:val="continue"/>
            <w:vAlign w:val="center"/>
          </w:tcPr>
          <w:p>
            <w:pPr>
              <w:rPr>
                <w:rFonts w:hint="eastAsia" w:ascii="仿宋_GB2312" w:hAnsi="仿宋_GB2312" w:eastAsia="仿宋_GB2312" w:cs="仿宋_GB2312"/>
                <w:kern w:val="0"/>
                <w:sz w:val="24"/>
                <w:szCs w:val="24"/>
              </w:rPr>
            </w:pP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进度计划和保证措施</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审小组根据供应商针对本项目提供的进度计划和保证措施进行综合评审；包括但不限于：①进度安排计划、②各环节进度保障措施、③与采购人的沟通以及协调等；以上3项内容为专门针对本项目编制，符合本项目实际情况，能够保障项目顺利实施的得9分，缺少一项内容扣3分，每有一项内容存在缺陷扣2分，扣完为止。</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vAlign w:val="center"/>
          </w:tcPr>
          <w:p>
            <w:pPr>
              <w:rPr>
                <w:rFonts w:hint="eastAsia" w:ascii="仿宋_GB2312" w:hAnsi="仿宋_GB2312" w:eastAsia="仿宋_GB2312" w:cs="仿宋_GB2312"/>
                <w:kern w:val="0"/>
                <w:sz w:val="24"/>
                <w:szCs w:val="24"/>
              </w:rPr>
            </w:pPr>
          </w:p>
        </w:tc>
        <w:tc>
          <w:tcPr>
            <w:tcW w:w="1276" w:type="dxa"/>
            <w:vMerge w:val="continue"/>
            <w:vAlign w:val="center"/>
          </w:tcPr>
          <w:p>
            <w:pPr>
              <w:rPr>
                <w:rFonts w:hint="eastAsia" w:ascii="仿宋_GB2312" w:hAnsi="仿宋_GB2312" w:eastAsia="仿宋_GB2312" w:cs="仿宋_GB2312"/>
                <w:kern w:val="0"/>
                <w:sz w:val="24"/>
                <w:szCs w:val="24"/>
              </w:rPr>
            </w:pP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组织机构设置</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审小组根据供应商针对本项目提供的组织机构设置进行综合评审；包括但不限于：①组织机构；②人员配备；③工作流程；④岗位职责与分工等；以上4项内容为专门针对本项目编制，符合本项目实际情况，能够保障项目顺利实施的得12分，缺少一项内容扣3分，每有一项内容存在缺陷扣2分，扣完为止。</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continue"/>
            <w:vAlign w:val="center"/>
          </w:tcPr>
          <w:p>
            <w:pPr>
              <w:rPr>
                <w:rFonts w:hint="eastAsia" w:ascii="仿宋_GB2312" w:hAnsi="仿宋_GB2312" w:eastAsia="仿宋_GB2312" w:cs="仿宋_GB2312"/>
                <w:kern w:val="0"/>
                <w:sz w:val="24"/>
                <w:szCs w:val="24"/>
              </w:rPr>
            </w:pPr>
          </w:p>
        </w:tc>
        <w:tc>
          <w:tcPr>
            <w:tcW w:w="1276" w:type="dxa"/>
            <w:vMerge w:val="continue"/>
            <w:vAlign w:val="center"/>
          </w:tcPr>
          <w:p>
            <w:pPr>
              <w:rPr>
                <w:rFonts w:hint="eastAsia" w:ascii="仿宋_GB2312" w:hAnsi="仿宋_GB2312" w:eastAsia="仿宋_GB2312" w:cs="仿宋_GB2312"/>
                <w:kern w:val="0"/>
                <w:sz w:val="24"/>
                <w:szCs w:val="24"/>
              </w:rPr>
            </w:pPr>
          </w:p>
        </w:tc>
        <w:tc>
          <w:tcPr>
            <w:tcW w:w="15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后续服务方案</w:t>
            </w:r>
          </w:p>
        </w:tc>
        <w:tc>
          <w:tcPr>
            <w:tcW w:w="36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审小组根据供应商针对本项目提供的后续服务方案进行综合评审；包括但不限于：①后续服务的内容、②后续服务人员组成；③后续服务保证措施等；以上3项内容为专门针对本项目编制，符合本项目实际情况，能够保障项目顺利实施的得6分，缺少一项内容扣2分，每有一项内容存在缺陷扣1分，扣完为止。</w:t>
            </w:r>
          </w:p>
        </w:tc>
        <w:tc>
          <w:tcPr>
            <w:tcW w:w="159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vMerge w:val="continue"/>
            <w:vAlign w:val="center"/>
          </w:tcPr>
          <w:p>
            <w:pPr>
              <w:rPr>
                <w:rFonts w:hint="eastAsia" w:ascii="仿宋_GB2312" w:hAnsi="仿宋_GB2312" w:eastAsia="仿宋_GB2312" w:cs="仿宋_GB2312"/>
                <w:kern w:val="0"/>
                <w:sz w:val="24"/>
                <w:szCs w:val="24"/>
              </w:rPr>
            </w:pPr>
          </w:p>
        </w:tc>
        <w:tc>
          <w:tcPr>
            <w:tcW w:w="1276" w:type="dxa"/>
            <w:vMerge w:val="continue"/>
            <w:vAlign w:val="center"/>
          </w:tcPr>
          <w:p>
            <w:pPr>
              <w:rPr>
                <w:rFonts w:hint="eastAsia" w:ascii="仿宋_GB2312" w:hAnsi="仿宋_GB2312" w:eastAsia="仿宋_GB2312" w:cs="仿宋_GB2312"/>
                <w:kern w:val="0"/>
                <w:sz w:val="24"/>
                <w:szCs w:val="24"/>
              </w:rPr>
            </w:pPr>
          </w:p>
        </w:tc>
        <w:tc>
          <w:tcPr>
            <w:tcW w:w="6809" w:type="dxa"/>
            <w:gridSpan w:val="3"/>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注：技术部分缺陷是指：内容与项目无关、逻辑错误、科学原理错误、表述错误、不符合本项目涉及的相关规范或标准要求的任意一种情形。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2793" w:type="dxa"/>
            <w:gridSpan w:val="2"/>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报价部分评分（10分）</w:t>
            </w:r>
          </w:p>
        </w:tc>
        <w:tc>
          <w:tcPr>
            <w:tcW w:w="5292" w:type="dxa"/>
            <w:gridSpan w:val="2"/>
          </w:tcPr>
          <w:p>
            <w:pPr>
              <w:widowControl/>
              <w:numPr>
                <w:ilvl w:val="0"/>
                <w:numId w:val="1"/>
              </w:num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采用内插法（先计算评标基准价，再计算偏差率，再上浮下浮扣分）；</w:t>
            </w:r>
          </w:p>
          <w:p>
            <w:pPr>
              <w:pStyle w:val="12"/>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窗体顶端</w:t>
            </w:r>
          </w:p>
          <w:p>
            <w:pPr>
              <w:widowControl/>
              <w:numPr>
                <w:ilvl w:val="0"/>
                <w:numId w:val="1"/>
              </w:num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评标价 = 投标函中的投标报价 ；</w:t>
            </w:r>
          </w:p>
          <w:p>
            <w:pPr>
              <w:widowControl/>
              <w:numPr>
                <w:ilvl w:val="0"/>
                <w:numId w:val="1"/>
              </w:num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基准价=所有有效评标价的平均值；</w:t>
            </w:r>
          </w:p>
          <w:p>
            <w:pPr>
              <w:widowControl/>
              <w:numPr>
                <w:ilvl w:val="0"/>
                <w:numId w:val="1"/>
              </w:num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平均值：当投标单位家数＜7家时直接计算平均值；当投标单位家数≥7家时去掉一家报价最高值，去掉一家报价最低值，然后计算平均值；</w:t>
            </w:r>
          </w:p>
          <w:p>
            <w:pPr>
              <w:pStyle w:val="12"/>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窗体顶端</w:t>
            </w:r>
          </w:p>
          <w:p>
            <w:pPr>
              <w:widowControl/>
              <w:numPr>
                <w:ilvl w:val="0"/>
                <w:numId w:val="1"/>
              </w:numP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 xml:space="preserve">偏差率=(投标人的评标价-评标基准价)/评标基准价*100% </w:t>
            </w:r>
          </w:p>
          <w:p>
            <w:pPr>
              <w:pStyle w:val="13"/>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窗体底端</w:t>
            </w:r>
          </w:p>
          <w:p>
            <w:pPr>
              <w:widowControl/>
              <w:numPr>
                <w:ilvl w:val="0"/>
                <w:numId w:val="1"/>
              </w:num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评标价得分计算公式：</w:t>
            </w: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如果投标人的评标价≥评标基准价，则评标价得分=F-偏差率*E1；E1=0.01</w:t>
            </w: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如果投标人的评标价＜评标基准价，则评标价得分=F+偏差率*E2；E2=0.01</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其中F是评标价所占的权重分值，E1是评标价每高于评标基准价一个百分点的扣分值，E2是评标价每低于评标基准价一个百分点的扣分值。</w:t>
            </w:r>
          </w:p>
        </w:tc>
      </w:tr>
      <w:bookmarkEnd w:id="0"/>
    </w:tbl>
    <w:p>
      <w:pPr>
        <w:rPr>
          <w:rFonts w:hint="eastAsia" w:ascii="仿宋_GB2312" w:hAnsi="仿宋_GB2312" w:eastAsia="仿宋_GB2312" w:cs="仿宋_GB231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33F6825B-F335-484D-8E1D-FE6C37202591}"/>
  </w:font>
  <w:font w:name="方正仿宋_GBK">
    <w:panose1 w:val="02000000000000000000"/>
    <w:charset w:val="86"/>
    <w:family w:val="auto"/>
    <w:pitch w:val="default"/>
    <w:sig w:usb0="00000001" w:usb1="080E0000" w:usb2="00000000" w:usb3="00000000" w:csb0="00040000" w:csb1="00000000"/>
    <w:embedRegular r:id="rId2" w:fontKey="{4D5E46A5-F035-4FC1-8227-89BCEA4D65B4}"/>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00120B25"/>
    <w:rsid w:val="000350E5"/>
    <w:rsid w:val="001111AF"/>
    <w:rsid w:val="00113F2D"/>
    <w:rsid w:val="00120B25"/>
    <w:rsid w:val="00144526"/>
    <w:rsid w:val="00155447"/>
    <w:rsid w:val="001E3E49"/>
    <w:rsid w:val="002A7B6C"/>
    <w:rsid w:val="00330461"/>
    <w:rsid w:val="00337DBD"/>
    <w:rsid w:val="0038578A"/>
    <w:rsid w:val="003F632E"/>
    <w:rsid w:val="00413679"/>
    <w:rsid w:val="00413A10"/>
    <w:rsid w:val="0041417C"/>
    <w:rsid w:val="004279DF"/>
    <w:rsid w:val="00482632"/>
    <w:rsid w:val="004D2BFA"/>
    <w:rsid w:val="00540B99"/>
    <w:rsid w:val="00606B74"/>
    <w:rsid w:val="006D2013"/>
    <w:rsid w:val="00764856"/>
    <w:rsid w:val="008531B1"/>
    <w:rsid w:val="00881E65"/>
    <w:rsid w:val="008C47E7"/>
    <w:rsid w:val="00954305"/>
    <w:rsid w:val="00987989"/>
    <w:rsid w:val="00AD60B1"/>
    <w:rsid w:val="00AF0572"/>
    <w:rsid w:val="00AF0793"/>
    <w:rsid w:val="00B91A19"/>
    <w:rsid w:val="00BA5ECA"/>
    <w:rsid w:val="00C8089C"/>
    <w:rsid w:val="00D1559E"/>
    <w:rsid w:val="00D221EA"/>
    <w:rsid w:val="00D9473C"/>
    <w:rsid w:val="00DB7914"/>
    <w:rsid w:val="00E61011"/>
    <w:rsid w:val="00E7383B"/>
    <w:rsid w:val="00E7767F"/>
    <w:rsid w:val="00E80CAD"/>
    <w:rsid w:val="00EA594B"/>
    <w:rsid w:val="00EB6E1B"/>
    <w:rsid w:val="00FA4C58"/>
    <w:rsid w:val="1057106E"/>
    <w:rsid w:val="2E7F6821"/>
    <w:rsid w:val="332848FF"/>
    <w:rsid w:val="33B66286"/>
    <w:rsid w:val="3C835484"/>
    <w:rsid w:val="3DDB7A17"/>
    <w:rsid w:val="5E7F629C"/>
    <w:rsid w:val="62C05BCC"/>
    <w:rsid w:val="688D38DD"/>
    <w:rsid w:val="6F8C598F"/>
    <w:rsid w:val="6FD10050"/>
    <w:rsid w:val="75D315DC"/>
    <w:rsid w:val="7AFB258E"/>
    <w:rsid w:val="7E4F83BA"/>
    <w:rsid w:val="F0FDEFAF"/>
    <w:rsid w:val="F3FE67F2"/>
    <w:rsid w:val="FAE9CDE2"/>
    <w:rsid w:val="FFB75076"/>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fontstyle01"/>
    <w:basedOn w:val="8"/>
    <w:qFormat/>
    <w:uiPriority w:val="0"/>
    <w:rPr>
      <w:rFonts w:hint="eastAsia" w:ascii="宋体" w:hAnsi="宋体" w:eastAsia="宋体"/>
      <w:color w:val="000000"/>
      <w:sz w:val="24"/>
      <w:szCs w:val="24"/>
    </w:rPr>
  </w:style>
  <w:style w:type="paragraph" w:customStyle="1" w:styleId="12">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3">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 w:type="character" w:customStyle="1" w:styleId="14">
    <w:name w:val="标题 1 字符"/>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2989</Words>
  <Characters>3135</Characters>
  <Lines>23</Lines>
  <Paragraphs>6</Paragraphs>
  <TotalTime>4</TotalTime>
  <ScaleCrop>false</ScaleCrop>
  <LinksUpToDate>false</LinksUpToDate>
  <CharactersWithSpaces>3142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2024-10-22T20:20:00Z</dcterms:created>
  <dc:creator>kang sun</dc:creator>
  <cp:lastModifiedBy>Administrator</cp:lastModifiedBy>
  <cp:lastPrinted>2024-10-23T12:55:00Z</cp:lastPrinted>
  <dcterms:modified xsi:type="dcterms:W3CDTF">2024-10-24T03:47:02Z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15F2CA28E44640F5B7A67272C1B66557_13</vt:lpwstr>
  </property>
</Properties>
</file>