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 w:name="_GoBack"/>
      <w:bookmarkEnd w:id="1"/>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仿宋_GBK" w:hAnsi="方正仿宋_GBK" w:eastAsia="方正仿宋_GBK" w:cs="方正仿宋_GBK"/>
          <w:color w:val="000000" w:themeColor="text1"/>
          <w:sz w:val="32"/>
          <w:szCs w:val="32"/>
          <w14:textFill>
            <w14:solidFill>
              <w14:schemeClr w14:val="tx1"/>
            </w14:solidFill>
          </w14:textFill>
        </w:rPr>
        <w:t>：遴选办法具体内容</w:t>
      </w:r>
    </w:p>
    <w:tbl>
      <w:tblPr>
        <w:tblStyle w:val="5"/>
        <w:tblW w:w="9548" w:type="dxa"/>
        <w:jc w:val="center"/>
        <w:tblLayout w:type="fixed"/>
        <w:tblCellMar>
          <w:top w:w="0" w:type="dxa"/>
          <w:left w:w="108" w:type="dxa"/>
          <w:bottom w:w="0" w:type="dxa"/>
          <w:right w:w="108" w:type="dxa"/>
        </w:tblCellMar>
      </w:tblPr>
      <w:tblGrid>
        <w:gridCol w:w="1520"/>
        <w:gridCol w:w="6477"/>
        <w:gridCol w:w="1551"/>
      </w:tblGrid>
      <w:tr>
        <w:tblPrEx>
          <w:tblCellMar>
            <w:top w:w="0" w:type="dxa"/>
            <w:left w:w="108" w:type="dxa"/>
            <w:bottom w:w="0" w:type="dxa"/>
            <w:right w:w="108" w:type="dxa"/>
          </w:tblCellMar>
        </w:tblPrEx>
        <w:trPr>
          <w:trHeight w:val="676" w:hRule="atLeast"/>
          <w:jc w:val="center"/>
        </w:trPr>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评审部分</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评审内容</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是否通过</w:t>
            </w:r>
          </w:p>
        </w:tc>
      </w:tr>
      <w:tr>
        <w:tblPrEx>
          <w:tblCellMar>
            <w:top w:w="0" w:type="dxa"/>
            <w:left w:w="108" w:type="dxa"/>
            <w:bottom w:w="0" w:type="dxa"/>
            <w:right w:w="108" w:type="dxa"/>
          </w:tblCellMar>
        </w:tblPrEx>
        <w:trPr>
          <w:trHeight w:val="3232" w:hRule="atLeast"/>
          <w:jc w:val="center"/>
        </w:trPr>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bidi="ar"/>
                <w14:textFill>
                  <w14:solidFill>
                    <w14:schemeClr w14:val="tx1"/>
                  </w14:solidFill>
                </w14:textFill>
              </w:rPr>
              <w:t>资格条件</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1、本次遴选要求</w:t>
            </w: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招标代理</w:t>
            </w: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单位</w:t>
            </w: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营业执照经营范围内包含招标代理机构的相关内容</w:t>
            </w: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2、三年（2021年至今）具有不少于3个与本项目类似的招标代理业绩（以中标通知书或合同为准）；</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3、提供近三年（2021-2023年度，若企业成立不足三年则提供成立以来的财务报表）的经会计师事务所或审计机构审计的财务会计报告；</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4、须按照藏建市管〔2023〕62号完成企业资质信息报送。</w:t>
            </w:r>
          </w:p>
          <w:p>
            <w:pPr>
              <w:widowControl/>
              <w:jc w:val="both"/>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5、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widowControl/>
              <w:jc w:val="both"/>
              <w:textAlignment w:val="cente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6、本项目不接受联合体。</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tc>
      </w:tr>
      <w:tr>
        <w:tblPrEx>
          <w:tblCellMar>
            <w:top w:w="0" w:type="dxa"/>
            <w:left w:w="108" w:type="dxa"/>
            <w:bottom w:w="0" w:type="dxa"/>
            <w:right w:w="108" w:type="dxa"/>
          </w:tblCellMar>
        </w:tblPrEx>
        <w:trPr>
          <w:trHeight w:val="785" w:hRule="atLeast"/>
          <w:jc w:val="center"/>
        </w:trPr>
        <w:tc>
          <w:tcPr>
            <w:tcW w:w="95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方正仿宋_GBK" w:hAnsi="方正仿宋_GBK" w:eastAsia="方正仿宋_GBK" w:cs="方正仿宋_GBK"/>
                <w:b/>
                <w:bCs/>
                <w:color w:val="000000" w:themeColor="text1"/>
                <w:kern w:val="0"/>
                <w:sz w:val="32"/>
                <w:szCs w:val="32"/>
                <w:highlight w:val="none"/>
                <w:lang w:bidi="ar"/>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highlight w:val="none"/>
                <w:lang w:bidi="ar"/>
                <w14:textFill>
                  <w14:solidFill>
                    <w14:schemeClr w14:val="tx1"/>
                  </w14:solidFill>
                </w14:textFill>
              </w:rPr>
              <w:t>通过资格条件评审的才能进入详细评审，详细评审总得分100分，分值如下：</w:t>
            </w:r>
          </w:p>
        </w:tc>
      </w:tr>
    </w:tbl>
    <w:tbl>
      <w:tblPr>
        <w:tblStyle w:val="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55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tcPr>
          <w:p>
            <w:pPr>
              <w:widowControl/>
              <w:jc w:val="both"/>
              <w:textAlignment w:val="cente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bookmarkStart w:id="0" w:name="_Hlk148612614"/>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评选项目</w:t>
            </w:r>
          </w:p>
        </w:tc>
        <w:tc>
          <w:tcPr>
            <w:tcW w:w="6557" w:type="dxa"/>
            <w:vAlign w:val="center"/>
          </w:tcPr>
          <w:p>
            <w:pPr>
              <w:widowControl/>
              <w:jc w:val="center"/>
              <w:textAlignment w:val="cente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评选内容</w:t>
            </w:r>
          </w:p>
        </w:tc>
        <w:tc>
          <w:tcPr>
            <w:tcW w:w="1510" w:type="dxa"/>
            <w:vAlign w:val="center"/>
          </w:tcPr>
          <w:p>
            <w:pPr>
              <w:widowControl/>
              <w:jc w:val="both"/>
              <w:textAlignment w:val="cente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评选得分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594" w:type="dxa"/>
            <w:vAlign w:val="center"/>
          </w:tcPr>
          <w:p>
            <w:pPr>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企业综合资历</w:t>
            </w:r>
          </w:p>
        </w:tc>
        <w:tc>
          <w:tcPr>
            <w:tcW w:w="6557" w:type="dxa"/>
          </w:tcPr>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1、具有依法缴纳税收和社会保障资金的良好记录，提供近半年（2023年12月至今）任意一个月的纳税凭证（银行出具的纳税凭证或税务机关出具的证明文件并加盖单位公章）或免税证明。满分4分，提供不齐全或未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2、提供在西藏自治区政府采购网政府代理机构上登记备案的相关信息截图、西藏自治区公共资源交易平台备案证截图、西藏自治区建筑市场监管服务平台备案截图。满分6分，未提供或提供不齐全不得分。</w:t>
            </w:r>
          </w:p>
          <w:p>
            <w:pPr>
              <w:spacing w:line="240" w:lineRule="auto"/>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3、具备在藏独立办公场所和必须的办公条件；具备开标室、评标室、监控室等基本场所。需提供场地照片、租房合同或房产证。满分8分，不提供或提供不齐全不得分。</w:t>
            </w:r>
          </w:p>
        </w:tc>
        <w:tc>
          <w:tcPr>
            <w:tcW w:w="1510"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p>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594"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专业人员</w:t>
            </w:r>
          </w:p>
        </w:tc>
        <w:tc>
          <w:tcPr>
            <w:tcW w:w="6557" w:type="dxa"/>
            <w:vAlign w:val="center"/>
          </w:tcPr>
          <w:p>
            <w:pPr>
              <w:pStyle w:val="4"/>
              <w:numPr>
                <w:ilvl w:val="0"/>
                <w:numId w:val="0"/>
              </w:numPr>
              <w:spacing w:line="320" w:lineRule="exact"/>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每提供本公司高级（或以上）职称人员得2分，满分10分；</w:t>
            </w:r>
          </w:p>
          <w:p>
            <w:pPr>
              <w:numPr>
                <w:ilvl w:val="0"/>
                <w:numId w:val="0"/>
              </w:numP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每提供全国一级注册造价工程师得2分，满分8分；</w:t>
            </w:r>
          </w:p>
          <w:p>
            <w:pPr>
              <w:pStyle w:val="2"/>
              <w:numPr>
                <w:ilvl w:val="0"/>
                <w:numId w:val="0"/>
              </w:numPr>
              <w:ind w:left="0" w:leftChars="0" w:firstLine="0" w:firstLineChars="0"/>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3、每提供本公司中级（或以上）职称人员得1分，满分5分；</w:t>
            </w:r>
          </w:p>
          <w:p>
            <w:pPr>
              <w:pStyle w:val="3"/>
              <w:numPr>
                <w:ilvl w:val="0"/>
                <w:numId w:val="0"/>
              </w:numPr>
              <w:ind w:leftChars="0"/>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4、每提供采购专职人员得1分，满分10分。</w:t>
            </w:r>
          </w:p>
          <w:p>
            <w:pPr>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备注：以上人员须提供近6个月以来任意一月的人员社保证明（2023年12月）</w:t>
            </w:r>
          </w:p>
        </w:tc>
        <w:tc>
          <w:tcPr>
            <w:tcW w:w="1510" w:type="dxa"/>
            <w:vAlign w:val="center"/>
          </w:tcPr>
          <w:p>
            <w:pPr>
              <w:jc w:val="both"/>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594"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企业业绩</w:t>
            </w:r>
          </w:p>
        </w:tc>
        <w:tc>
          <w:tcPr>
            <w:tcW w:w="6557" w:type="dxa"/>
            <w:vAlign w:val="center"/>
          </w:tcPr>
          <w:p>
            <w:pPr>
              <w:jc w:val="both"/>
              <w:rPr>
                <w:rFonts w:hint="eastAsia" w:ascii="方正仿宋_GBK" w:hAnsi="方正仿宋_GBK" w:eastAsia="方正仿宋_GBK" w:cs="方正仿宋_GBK"/>
                <w:color w:val="000000" w:themeColor="text1"/>
                <w:kern w:val="0"/>
                <w:sz w:val="28"/>
                <w:szCs w:val="28"/>
                <w:highlight w:val="none"/>
                <w:lang w:val="en-US"/>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类似项目招标代理业绩每提供一项得2分，满分18分</w:t>
            </w:r>
          </w:p>
        </w:tc>
        <w:tc>
          <w:tcPr>
            <w:tcW w:w="1510" w:type="dxa"/>
            <w:vAlign w:val="center"/>
          </w:tcPr>
          <w:p>
            <w:pPr>
              <w:jc w:val="both"/>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94"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服务方案</w:t>
            </w:r>
          </w:p>
        </w:tc>
        <w:tc>
          <w:tcPr>
            <w:tcW w:w="6557" w:type="dxa"/>
            <w:vAlign w:val="center"/>
          </w:tcPr>
          <w:p>
            <w:pPr>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根据实施方案进行评审，包括但不限于：①工作流程；②技术方案与路线；③编制服务的总体思路和部署；④工作任务与目标；⑤质量控制和效率控制；⑥保密措施；以上全部内容详细合理、符合项目实际需求的得24分，每缺少一项或不满足要求的或方案脱离实际的扣4分，每有一项内容存在缺陷或不足的扣3分，直至扣完为止。</w:t>
            </w:r>
          </w:p>
        </w:tc>
        <w:tc>
          <w:tcPr>
            <w:tcW w:w="1510" w:type="dxa"/>
            <w:vAlign w:val="center"/>
          </w:tcPr>
          <w:p>
            <w:pPr>
              <w:jc w:val="both"/>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94" w:type="dxa"/>
            <w:vAlign w:val="center"/>
          </w:tcPr>
          <w:p>
            <w:pPr>
              <w:jc w:val="both"/>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服务响应承诺</w:t>
            </w:r>
          </w:p>
        </w:tc>
        <w:tc>
          <w:tcPr>
            <w:tcW w:w="6557" w:type="dxa"/>
            <w:vAlign w:val="center"/>
          </w:tcPr>
          <w:p>
            <w:pPr>
              <w:jc w:val="both"/>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供应商提供</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招标方案、工程量清单、招标文件</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编制承诺，响应时间积极、满足项目需求，</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针对整个项目进程须有计划。</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有承诺</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承诺</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的得</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分；不提供不得分。</w:t>
            </w:r>
          </w:p>
        </w:tc>
        <w:tc>
          <w:tcPr>
            <w:tcW w:w="1510" w:type="dxa"/>
            <w:vAlign w:val="center"/>
          </w:tcPr>
          <w:p>
            <w:pPr>
              <w:jc w:val="both"/>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满分8分</w:t>
            </w:r>
          </w:p>
        </w:tc>
      </w:tr>
      <w:bookmarkEnd w:id="0"/>
    </w:tbl>
    <w:p>
      <w:pPr>
        <w:jc w:val="both"/>
        <w:rPr>
          <w:rFonts w:hint="eastAsia" w:ascii="仿宋_GB2312" w:hAnsi="仿宋_GB2312" w:eastAsia="仿宋_GB2312" w:cs="仿宋_GB2312"/>
          <w:color w:val="000000" w:themeColor="text1"/>
          <w:highlight w:val="none"/>
          <w14:textFill>
            <w14:solidFill>
              <w14:schemeClr w14:val="tx1"/>
            </w14:solidFill>
          </w14:textFill>
        </w:rPr>
      </w:pPr>
    </w:p>
    <w:p>
      <w:pPr>
        <w:jc w:val="both"/>
        <w:rPr>
          <w:rFonts w:hint="eastAsia" w:ascii="仿宋_GB2312" w:hAnsi="仿宋_GB2312" w:eastAsia="仿宋_GB2312" w:cs="仿宋_GB2312"/>
          <w:color w:val="000000" w:themeColor="text1"/>
          <w:highlight w:val="none"/>
          <w14:textFill>
            <w14:solidFill>
              <w14:schemeClr w14:val="tx1"/>
            </w14:solidFill>
          </w14:textFill>
        </w:rPr>
      </w:pPr>
    </w:p>
    <w:p>
      <w:pPr>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1" w:fontKey="{76524A51-67A5-4381-B186-9B86362028C7}"/>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85DA8B7B-53EA-4A9E-8B6F-51A01AD92DF0}"/>
  </w:font>
  <w:font w:name="方正仿宋_GBK">
    <w:panose1 w:val="02000000000000000000"/>
    <w:charset w:val="86"/>
    <w:family w:val="auto"/>
    <w:pitch w:val="default"/>
    <w:sig w:usb0="00000001" w:usb1="080E0000" w:usb2="00000000" w:usb3="00000000" w:csb0="00040000" w:csb1="00000000"/>
    <w:embedRegular r:id="rId3" w:fontKey="{1D84618B-500A-4FDD-9948-8259FBC3FAED}"/>
  </w:font>
  <w:font w:name="仿宋_GB2312">
    <w:panose1 w:val="02010609030101010101"/>
    <w:charset w:val="86"/>
    <w:family w:val="auto"/>
    <w:pitch w:val="default"/>
    <w:sig w:usb0="00000001" w:usb1="080E0000" w:usb2="00000000" w:usb3="00000000" w:csb0="00040000" w:csb1="00000000"/>
    <w:embedRegular r:id="rId4" w:fontKey="{CFF71CA2-B03A-4D65-818C-64BB0B3D1E4D}"/>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42E60667"/>
    <w:rsid w:val="024535A0"/>
    <w:rsid w:val="073B568B"/>
    <w:rsid w:val="10030A78"/>
    <w:rsid w:val="12F33DA3"/>
    <w:rsid w:val="13292501"/>
    <w:rsid w:val="19836A30"/>
    <w:rsid w:val="21751354"/>
    <w:rsid w:val="235E663D"/>
    <w:rsid w:val="26C961D5"/>
    <w:rsid w:val="3907356C"/>
    <w:rsid w:val="3B79BED5"/>
    <w:rsid w:val="3C102F41"/>
    <w:rsid w:val="3C38E8F8"/>
    <w:rsid w:val="3DFB09DB"/>
    <w:rsid w:val="3F773210"/>
    <w:rsid w:val="3F8EAC74"/>
    <w:rsid w:val="42E60667"/>
    <w:rsid w:val="475E78D5"/>
    <w:rsid w:val="47F24BFD"/>
    <w:rsid w:val="4A300509"/>
    <w:rsid w:val="4DA60964"/>
    <w:rsid w:val="4FFF8703"/>
    <w:rsid w:val="51305287"/>
    <w:rsid w:val="53A616BE"/>
    <w:rsid w:val="53FF7159"/>
    <w:rsid w:val="559B4B26"/>
    <w:rsid w:val="5DDF5E8A"/>
    <w:rsid w:val="5ECA3D86"/>
    <w:rsid w:val="5ED3ABEB"/>
    <w:rsid w:val="5FED83C2"/>
    <w:rsid w:val="601F7341"/>
    <w:rsid w:val="60B81ABE"/>
    <w:rsid w:val="6DF7EB7B"/>
    <w:rsid w:val="6F5D9AC4"/>
    <w:rsid w:val="70F64D7B"/>
    <w:rsid w:val="731678B0"/>
    <w:rsid w:val="775FC2E1"/>
    <w:rsid w:val="77F9507D"/>
    <w:rsid w:val="785003DC"/>
    <w:rsid w:val="78650950"/>
    <w:rsid w:val="7EE4A4B8"/>
    <w:rsid w:val="7F877242"/>
    <w:rsid w:val="7FC39D91"/>
    <w:rsid w:val="7FEFAC0F"/>
    <w:rsid w:val="7FFBD581"/>
    <w:rsid w:val="7FFD269A"/>
    <w:rsid w:val="7FFFAEC7"/>
    <w:rsid w:val="8F970D4B"/>
    <w:rsid w:val="8F9CF41D"/>
    <w:rsid w:val="A7EF3BC9"/>
    <w:rsid w:val="BD3F342F"/>
    <w:rsid w:val="BDEFA762"/>
    <w:rsid w:val="BFA92BCD"/>
    <w:rsid w:val="D5FD400E"/>
    <w:rsid w:val="DB7FCBF6"/>
    <w:rsid w:val="F57328FF"/>
    <w:rsid w:val="FDEF8B75"/>
    <w:rsid w:val="FFEF4DDD"/>
    <w:rsid w:val="FFF7D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640"/>
    </w:pPr>
    <w:rPr>
      <w:sz w:val="32"/>
      <w:szCs w:val="24"/>
    </w:rPr>
  </w:style>
  <w:style w:type="paragraph" w:styleId="3">
    <w:name w:val="Balloon Text"/>
    <w:basedOn w:val="1"/>
    <w:next w:val="1"/>
    <w:semiHidden/>
    <w:qFormat/>
    <w:uiPriority w:val="99"/>
    <w:rPr>
      <w:sz w:val="18"/>
      <w:szCs w:val="18"/>
    </w:rPr>
  </w:style>
  <w:style w:type="paragraph" w:styleId="4">
    <w:name w:val="Date"/>
    <w:basedOn w:val="1"/>
    <w:next w:val="1"/>
    <w:qFormat/>
    <w:uiPriority w:val="0"/>
    <w:rPr>
      <w:sz w:val="24"/>
      <w:szCs w:val="20"/>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1883</Words>
  <Characters>1991</Characters>
  <Lines>0</Lines>
  <Paragraphs>0</Paragraphs>
  <TotalTime>180</TotalTime>
  <ScaleCrop>false</ScaleCrop>
  <LinksUpToDate>false</LinksUpToDate>
  <CharactersWithSpaces>1995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2024-11-27T02:38:00Z</dcterms:created>
  <dc:creator>Demon W</dc:creator>
  <cp:lastModifiedBy>Administrator</cp:lastModifiedBy>
  <dcterms:modified xsi:type="dcterms:W3CDTF">2024-12-31T12:20:25Z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6835C0A14D5C4E23B67A69686059CBC3_13</vt:lpwstr>
  </property>
</Properties>
</file>