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rPr>
          <w:rFonts w:hint="eastAsia" w:ascii="方正仿宋_GBK" w:hAnsi="方正仿宋_GBK" w:eastAsia="方正仿宋_GBK" w:cs="方正仿宋_GBK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方正黑体_GBK" w:hAnsi="方正黑体_GBK" w:eastAsia="方正黑体_GBK" w:cs="方正黑体_GBK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附件：</w:t>
      </w:r>
      <w:bookmarkStart w:id="1" w:name="_GoBack"/>
      <w:r>
        <w:rPr>
          <w:rFonts w:hint="eastAsia" w:ascii="方正仿宋_GBK" w:hAnsi="方正仿宋_GBK" w:eastAsia="方正仿宋_GBK" w:cs="方正仿宋_GBK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遴选办法具体内容</w:t>
      </w:r>
      <w:bookmarkEnd w:id="1"/>
    </w:p>
    <w:tbl>
      <w:tblPr>
        <w:tblStyle w:val="7"/>
        <w:tblW w:w="9082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37"/>
        <w:gridCol w:w="1501"/>
        <w:gridCol w:w="5716"/>
        <w:gridCol w:w="102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2" w:hRule="atLeast"/>
          <w:jc w:val="center"/>
        </w:trPr>
        <w:tc>
          <w:tcPr>
            <w:tcW w:w="8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 w:themeColor="text1"/>
                <w:sz w:val="32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 w:themeColor="text1"/>
                <w:kern w:val="0"/>
                <w:sz w:val="32"/>
                <w:szCs w:val="32"/>
                <w:lang w:bidi="ar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1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 w:themeColor="text1"/>
                <w:sz w:val="32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 w:themeColor="text1"/>
                <w:kern w:val="0"/>
                <w:sz w:val="32"/>
                <w:szCs w:val="32"/>
                <w:lang w:bidi="ar"/>
                <w14:textFill>
                  <w14:solidFill>
                    <w14:schemeClr w14:val="tx1"/>
                  </w14:solidFill>
                </w14:textFill>
              </w:rPr>
              <w:t>评审部分</w:t>
            </w:r>
          </w:p>
        </w:tc>
        <w:tc>
          <w:tcPr>
            <w:tcW w:w="5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 w:themeColor="text1"/>
                <w:sz w:val="32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 w:themeColor="text1"/>
                <w:kern w:val="0"/>
                <w:sz w:val="32"/>
                <w:szCs w:val="32"/>
                <w:lang w:bidi="ar"/>
                <w14:textFill>
                  <w14:solidFill>
                    <w14:schemeClr w14:val="tx1"/>
                  </w14:solidFill>
                </w14:textFill>
              </w:rPr>
              <w:t>评审内容</w:t>
            </w:r>
          </w:p>
        </w:tc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 w:themeColor="text1"/>
                <w:sz w:val="32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 w:themeColor="text1"/>
                <w:kern w:val="0"/>
                <w:sz w:val="32"/>
                <w:szCs w:val="32"/>
                <w:lang w:bidi="ar"/>
                <w14:textFill>
                  <w14:solidFill>
                    <w14:schemeClr w14:val="tx1"/>
                  </w14:solidFill>
                </w14:textFill>
              </w:rPr>
              <w:t>是否通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 w:themeColor="text1"/>
                <w:kern w:val="0"/>
                <w:sz w:val="32"/>
                <w:szCs w:val="32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 w:themeColor="text1"/>
                <w:kern w:val="0"/>
                <w:sz w:val="32"/>
                <w:szCs w:val="32"/>
                <w:lang w:bidi="ar"/>
                <w14:textFill>
                  <w14:solidFill>
                    <w14:schemeClr w14:val="tx1"/>
                  </w14:solidFill>
                </w14:textFill>
              </w:rPr>
              <w:t>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8" w:hRule="atLeast"/>
          <w:jc w:val="center"/>
        </w:trPr>
        <w:tc>
          <w:tcPr>
            <w:tcW w:w="8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center"/>
              <w:rPr>
                <w:rFonts w:hint="eastAsia" w:ascii="方正仿宋_GBK" w:hAnsi="方正仿宋_GBK" w:eastAsia="方正仿宋_GBK" w:cs="方正仿宋_GBK"/>
                <w:color w:val="000000" w:themeColor="text1"/>
                <w:sz w:val="32"/>
                <w:szCs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 w:themeColor="text1"/>
                <w:sz w:val="32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 w:themeColor="text1"/>
                <w:kern w:val="0"/>
                <w:sz w:val="32"/>
                <w:szCs w:val="32"/>
                <w:lang w:bidi="ar"/>
                <w14:textFill>
                  <w14:solidFill>
                    <w14:schemeClr w14:val="tx1"/>
                  </w14:solidFill>
                </w14:textFill>
              </w:rPr>
              <w:t>资格条件</w:t>
            </w:r>
          </w:p>
        </w:tc>
        <w:tc>
          <w:tcPr>
            <w:tcW w:w="57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lang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lang w:bidi="ar"/>
                <w14:textFill>
                  <w14:solidFill>
                    <w14:schemeClr w14:val="tx1"/>
                  </w14:solidFill>
                </w14:textFill>
              </w:rPr>
              <w:t>1、</w:t>
            </w:r>
            <w:r>
              <w:rPr>
                <w:rFonts w:hint="eastAsia" w:ascii="方正仿宋_GBK" w:hAnsi="方正仿宋_GBK" w:eastAsia="方正仿宋_GBK" w:cs="方正仿宋_GBK"/>
                <w:color w:val="000000" w:themeColor="text1"/>
                <w:sz w:val="32"/>
                <w:szCs w:val="3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营业执照经营范围内包含水土保持工作的相关内容；</w:t>
            </w: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并在人员、设备、资金等方面具备相应的能力</w:t>
            </w: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lang w:bidi="ar"/>
                <w14:textFill>
                  <w14:solidFill>
                    <w14:schemeClr w14:val="tx1"/>
                  </w14:solidFill>
                </w14:textFill>
              </w:rPr>
              <w:t>（提供有效的营业执照和资质证书）；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center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lang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lang w:bidi="ar"/>
                <w14:textFill>
                  <w14:solidFill>
                    <w14:schemeClr w14:val="tx1"/>
                  </w14:solidFill>
                </w14:textFill>
              </w:rPr>
              <w:t>2、近三年（202</w:t>
            </w: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lang w:bidi="ar"/>
                <w14:textFill>
                  <w14:solidFill>
                    <w14:schemeClr w14:val="tx1"/>
                  </w14:solidFill>
                </w14:textFill>
              </w:rPr>
              <w:t>年至今）具有不少于1个与本项目类似的业绩（以中标通知书或合同为准）；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center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lang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lang w:bidi="ar"/>
                <w14:textFill>
                  <w14:solidFill>
                    <w14:schemeClr w14:val="tx1"/>
                  </w14:solidFill>
                </w14:textFill>
              </w:rPr>
              <w:t>、提供近三年（2021-2023年度，若企业成立不足三年则提供成立以来的财务报表）的经会计师事务所或审计机构审计的财务会计报告；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center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lang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4</w:t>
            </w: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lang w:bidi="ar"/>
                <w14:textFill>
                  <w14:solidFill>
                    <w14:schemeClr w14:val="tx1"/>
                  </w14:solidFill>
                </w14:textFill>
              </w:rPr>
              <w:t>、须按照藏建市管〔2023〕62号完成企业资质信息报送。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center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lang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5</w:t>
            </w: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lang w:bidi="ar"/>
                <w14:textFill>
                  <w14:solidFill>
                    <w14:schemeClr w14:val="tx1"/>
                  </w14:solidFill>
                </w14:textFill>
              </w:rPr>
              <w:t>、近三年（2021年度、2022年度、2023年度）企业未处于财产被接管、冻结、破产状态，并没有因违法违规或不诚信行为而被政府或业主宣布取消投标资格，以住房城乡建设部、信用中国网站（严重失信主体名单、经营异常名录、重大税收违法失信主体）查询截图为准；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center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lang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6</w:t>
            </w: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lang w:bidi="ar"/>
                <w14:textFill>
                  <w14:solidFill>
                    <w14:schemeClr w14:val="tx1"/>
                  </w14:solidFill>
                </w14:textFill>
              </w:rPr>
              <w:t>、本项目不接受联合体遴选。</w:t>
            </w:r>
          </w:p>
        </w:tc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 w:themeColor="text1"/>
                <w:sz w:val="32"/>
                <w:szCs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sz w:val="32"/>
                <w:szCs w:val="32"/>
                <w14:textFill>
                  <w14:solidFill>
                    <w14:schemeClr w14:val="tx1"/>
                  </w14:solidFill>
                </w14:textFill>
              </w:rPr>
              <w:t>/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5" w:hRule="atLeast"/>
          <w:jc w:val="center"/>
        </w:trPr>
        <w:tc>
          <w:tcPr>
            <w:tcW w:w="908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 w:themeColor="text1"/>
                <w:kern w:val="0"/>
                <w:sz w:val="32"/>
                <w:szCs w:val="32"/>
                <w:highlight w:val="none"/>
                <w:lang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 w:themeColor="text1"/>
                <w:kern w:val="0"/>
                <w:sz w:val="32"/>
                <w:szCs w:val="32"/>
                <w:highlight w:val="none"/>
                <w:lang w:bidi="ar"/>
                <w14:textFill>
                  <w14:solidFill>
                    <w14:schemeClr w14:val="tx1"/>
                  </w14:solidFill>
                </w14:textFill>
              </w:rPr>
              <w:t>通过资格条件评审的才能进入详细评审，详细评审总得分100分，分值如下：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 w:themeColor="text1"/>
                <w:kern w:val="0"/>
                <w:sz w:val="32"/>
                <w:szCs w:val="32"/>
                <w:highlight w:val="none"/>
                <w:lang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 w:themeColor="text1"/>
                <w:kern w:val="0"/>
                <w:sz w:val="32"/>
                <w:szCs w:val="32"/>
                <w:highlight w:val="none"/>
                <w:lang w:bidi="ar"/>
                <w14:textFill>
                  <w14:solidFill>
                    <w14:schemeClr w14:val="tx1"/>
                  </w14:solidFill>
                </w14:textFill>
              </w:rPr>
              <w:t>商务部分：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 w:themeColor="text1"/>
                <w:kern w:val="0"/>
                <w:sz w:val="32"/>
                <w:szCs w:val="32"/>
                <w:highlight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 w:themeColor="text1"/>
                <w:kern w:val="0"/>
                <w:sz w:val="32"/>
                <w:szCs w:val="32"/>
                <w:highlight w:val="none"/>
                <w:lang w:bidi="ar"/>
                <w14:textFill>
                  <w14:solidFill>
                    <w14:schemeClr w14:val="tx1"/>
                  </w14:solidFill>
                </w14:textFill>
              </w:rPr>
              <w:t>分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 w:themeColor="text1"/>
                <w:kern w:val="0"/>
                <w:sz w:val="32"/>
                <w:szCs w:val="32"/>
                <w:highlight w:val="none"/>
                <w:lang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 w:themeColor="text1"/>
                <w:kern w:val="0"/>
                <w:sz w:val="32"/>
                <w:szCs w:val="32"/>
                <w:highlight w:val="none"/>
                <w:lang w:bidi="ar"/>
                <w14:textFill>
                  <w14:solidFill>
                    <w14:schemeClr w14:val="tx1"/>
                  </w14:solidFill>
                </w14:textFill>
              </w:rPr>
              <w:t>技术部分（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 w:themeColor="text1"/>
                <w:kern w:val="0"/>
                <w:sz w:val="32"/>
                <w:szCs w:val="32"/>
                <w:highlight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设计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 w:themeColor="text1"/>
                <w:kern w:val="0"/>
                <w:sz w:val="32"/>
                <w:szCs w:val="32"/>
                <w:highlight w:val="none"/>
                <w:lang w:bidi="ar"/>
                <w14:textFill>
                  <w14:solidFill>
                    <w14:schemeClr w14:val="tx1"/>
                  </w14:solidFill>
                </w14:textFill>
              </w:rPr>
              <w:t>大纲）：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 w:themeColor="text1"/>
                <w:kern w:val="0"/>
                <w:sz w:val="32"/>
                <w:szCs w:val="32"/>
                <w:highlight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70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 w:themeColor="text1"/>
                <w:kern w:val="0"/>
                <w:sz w:val="32"/>
                <w:szCs w:val="32"/>
                <w:highlight w:val="none"/>
                <w:lang w:bidi="ar"/>
                <w14:textFill>
                  <w14:solidFill>
                    <w14:schemeClr w14:val="tx1"/>
                  </w14:solidFill>
                </w14:textFill>
              </w:rPr>
              <w:t>分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center"/>
              <w:rPr>
                <w:rFonts w:hint="eastAsia" w:ascii="方正仿宋_GBK" w:hAnsi="方正仿宋_GBK" w:eastAsia="方正仿宋_GBK" w:cs="方正仿宋_GBK"/>
                <w:b/>
                <w:bCs/>
                <w:color w:val="000000" w:themeColor="text1"/>
                <w:kern w:val="0"/>
                <w:sz w:val="32"/>
                <w:szCs w:val="32"/>
                <w:highlight w:val="none"/>
                <w:lang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 w:themeColor="text1"/>
                <w:kern w:val="0"/>
                <w:sz w:val="32"/>
                <w:szCs w:val="32"/>
                <w:highlight w:val="none"/>
                <w:lang w:bidi="ar"/>
                <w14:textFill>
                  <w14:solidFill>
                    <w14:schemeClr w14:val="tx1"/>
                  </w14:solidFill>
                </w14:textFill>
              </w:rPr>
              <w:t>投标报价：1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 w:themeColor="text1"/>
                <w:kern w:val="0"/>
                <w:sz w:val="32"/>
                <w:szCs w:val="32"/>
                <w:highlight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0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color w:val="000000" w:themeColor="text1"/>
                <w:kern w:val="0"/>
                <w:sz w:val="32"/>
                <w:szCs w:val="32"/>
                <w:highlight w:val="none"/>
                <w:lang w:bidi="ar"/>
                <w14:textFill>
                  <w14:solidFill>
                    <w14:schemeClr w14:val="tx1"/>
                  </w14:solidFill>
                </w14:textFill>
              </w:rPr>
              <w:t>分</w:t>
            </w:r>
          </w:p>
        </w:tc>
      </w:tr>
    </w:tbl>
    <w:tbl>
      <w:tblPr>
        <w:tblStyle w:val="8"/>
        <w:tblW w:w="905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18"/>
        <w:gridCol w:w="1276"/>
        <w:gridCol w:w="1517"/>
        <w:gridCol w:w="3696"/>
        <w:gridCol w:w="165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94" w:type="dxa"/>
            <w:gridSpan w:val="2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bookmarkStart w:id="0" w:name="_Hlk148612614"/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  <w:t>条款号</w:t>
            </w:r>
          </w:p>
        </w:tc>
        <w:tc>
          <w:tcPr>
            <w:tcW w:w="151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  <w:t>评审因素</w:t>
            </w:r>
          </w:p>
        </w:tc>
        <w:tc>
          <w:tcPr>
            <w:tcW w:w="3696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  <w:t>评审标准</w:t>
            </w:r>
          </w:p>
        </w:tc>
        <w:tc>
          <w:tcPr>
            <w:tcW w:w="1651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  <w:t>标准分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77" w:hRule="atLeast"/>
          <w:jc w:val="center"/>
        </w:trPr>
        <w:tc>
          <w:tcPr>
            <w:tcW w:w="918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1276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商务部分</w:t>
            </w:r>
          </w:p>
        </w:tc>
        <w:tc>
          <w:tcPr>
            <w:tcW w:w="151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履约能力</w:t>
            </w:r>
          </w:p>
        </w:tc>
        <w:tc>
          <w:tcPr>
            <w:tcW w:w="3696" w:type="dxa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  <w:t>供应商自202</w:t>
            </w: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  <w:t>年1月1日（含）以来，具有类似项目业绩的，每有一项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  <w:t>业绩得</w:t>
            </w: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  <w:t>分，本项最多得</w:t>
            </w: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  <w:t>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  <w:t>注：类似项目业绩：提供中标（成交）通知书或合同清晰复印件并加盖供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  <w:t>应商单位鲜章。</w:t>
            </w: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  <w:tc>
          <w:tcPr>
            <w:tcW w:w="165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30" w:hRule="atLeast"/>
          <w:jc w:val="center"/>
        </w:trPr>
        <w:tc>
          <w:tcPr>
            <w:tcW w:w="918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6" w:type="dxa"/>
            <w:vMerge w:val="continue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1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人员配置</w:t>
            </w:r>
          </w:p>
        </w:tc>
        <w:tc>
          <w:tcPr>
            <w:tcW w:w="3696" w:type="dxa"/>
            <w:vAlign w:val="center"/>
          </w:tcPr>
          <w:p>
            <w:pPr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rPr>
                <w:rFonts w:hint="eastAsia" w:ascii="方正仿宋_GBK" w:hAnsi="方正仿宋_GBK" w:eastAsia="方正仿宋_GBK" w:cs="方正仿宋_GBK"/>
                <w:color w:val="000000" w:themeColor="text1"/>
                <w:sz w:val="32"/>
                <w:szCs w:val="3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项目负责人具备水工环专业中级及以上职称的得4分。            2.拟投入其他人员中每具备1水工环专业中级及以上职称的专职人员的得2分，最多得6分。</w:t>
            </w:r>
          </w:p>
        </w:tc>
        <w:tc>
          <w:tcPr>
            <w:tcW w:w="165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10分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bidi w:val="0"/>
              <w:jc w:val="left"/>
              <w:rPr>
                <w:rFonts w:hint="eastAsia" w:ascii="方正仿宋_GBK" w:hAnsi="方正仿宋_GBK" w:eastAsia="方正仿宋_GBK" w:cs="方正仿宋_GBK"/>
                <w:color w:val="000000" w:themeColor="text1"/>
                <w:sz w:val="32"/>
                <w:szCs w:val="32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7" w:hRule="atLeast"/>
          <w:jc w:val="center"/>
        </w:trPr>
        <w:tc>
          <w:tcPr>
            <w:tcW w:w="918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276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技术部分</w:t>
            </w:r>
          </w:p>
        </w:tc>
        <w:tc>
          <w:tcPr>
            <w:tcW w:w="151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服务方案</w:t>
            </w:r>
          </w:p>
        </w:tc>
        <w:tc>
          <w:tcPr>
            <w:tcW w:w="3696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  <w:t>依据供应商对项目的技术服务方案进行评审，包括但不限于以下内容：①各工作流程分析；②项目野外调查；③技术方法及验收方案；④规划及报告编制；⑤数据更新等方面提出相应的技术要求和解决方法；每缺失一项方案扣5分；所提供的方案措施中每一处具有缺陷的扣2分，未提供不得分。</w:t>
            </w:r>
          </w:p>
        </w:tc>
        <w:tc>
          <w:tcPr>
            <w:tcW w:w="165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25分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4" w:hRule="atLeast"/>
          <w:jc w:val="center"/>
        </w:trPr>
        <w:tc>
          <w:tcPr>
            <w:tcW w:w="918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6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1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重点、难点分析</w:t>
            </w:r>
          </w:p>
        </w:tc>
        <w:tc>
          <w:tcPr>
            <w:tcW w:w="3696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  <w:t>投标人需针对本项目工作中重点、难点进行分析并逐项提供解决措施；①对项目理解及所在地区条件的认识</w:t>
            </w: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。</w:t>
            </w: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  <w:t>②其重点、难点分析</w:t>
            </w: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。</w:t>
            </w: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  <w:t>③解决措施；每缺失一项方案扣4分；所提供的方案措施中每一处具有缺陷的扣2分，未提供不得分。</w:t>
            </w:r>
          </w:p>
        </w:tc>
        <w:tc>
          <w:tcPr>
            <w:tcW w:w="165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7" w:hRule="atLeast"/>
          <w:jc w:val="center"/>
        </w:trPr>
        <w:tc>
          <w:tcPr>
            <w:tcW w:w="918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6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1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服务团队配备</w:t>
            </w:r>
          </w:p>
        </w:tc>
        <w:tc>
          <w:tcPr>
            <w:tcW w:w="3696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  <w:t>评审委员会根据投标人提供的项目服务团队配备方案：①服务团队人员组成架构、②人员具体分工、③人员岗位职责、④人员管理制度</w:t>
            </w: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。</w:t>
            </w: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  <w:t>每缺失一项方案扣3分；所提供的方案措施中每一处具有缺陷的扣1.5分，未提供不得分。</w:t>
            </w:r>
          </w:p>
        </w:tc>
        <w:tc>
          <w:tcPr>
            <w:tcW w:w="165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918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6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1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进度计划安排</w:t>
            </w:r>
          </w:p>
        </w:tc>
        <w:tc>
          <w:tcPr>
            <w:tcW w:w="3696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  <w:t>针对本项目所提供的服务进度计划的安排，包括①项目的总体计划安排</w:t>
            </w: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。</w:t>
            </w: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  <w:t>②各子项任务的衔接</w:t>
            </w: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。</w:t>
            </w: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  <w:t>③文字及图表的说明等。每缺失一项排方案扣3分；所提供的方案措施中每一处具有缺陷的扣1.5分，未提供不得分。</w:t>
            </w:r>
          </w:p>
        </w:tc>
        <w:tc>
          <w:tcPr>
            <w:tcW w:w="165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918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6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51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突发事件应急措施</w:t>
            </w:r>
          </w:p>
        </w:tc>
        <w:tc>
          <w:tcPr>
            <w:tcW w:w="3696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  <w:t>评审委员会根据投标人提供的突发事件应急措施：①应急管理机构</w:t>
            </w: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。</w:t>
            </w: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  <w:t>②应急响应时间</w:t>
            </w: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。</w:t>
            </w: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  <w:t>③应急响应流程</w:t>
            </w: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。</w:t>
            </w: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  <w:t>④紧急情况应对措施，每缺失一项方案扣3分；所提供的方案措施中每一处具有缺陷的扣2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  <w:t>分，未提供不得分。</w:t>
            </w:r>
          </w:p>
        </w:tc>
        <w:tc>
          <w:tcPr>
            <w:tcW w:w="1651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12分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2793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  <w:t>报价部分评分（</w:t>
            </w: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10分</w:t>
            </w: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  <w:t>）</w:t>
            </w:r>
          </w:p>
        </w:tc>
        <w:tc>
          <w:tcPr>
            <w:tcW w:w="5347" w:type="dxa"/>
            <w:gridSpan w:val="2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bidi="ar"/>
                <w14:textFill>
                  <w14:solidFill>
                    <w14:schemeClr w14:val="tx1"/>
                  </w14:solidFill>
                </w14:textFill>
              </w:rPr>
              <w:t>采用内插法（先计算评标基准价，再计算偏差率，再上浮下浮扣分）；</w:t>
            </w:r>
          </w:p>
          <w:p>
            <w:pPr>
              <w:pStyle w:val="1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  <w:t>窗体顶端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bidi="ar"/>
                <w14:textFill>
                  <w14:solidFill>
                    <w14:schemeClr w14:val="tx1"/>
                  </w14:solidFill>
                </w14:textFill>
              </w:rPr>
              <w:t>评标价=投标函中的投标报价；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bidi="ar"/>
                <w14:textFill>
                  <w14:solidFill>
                    <w14:schemeClr w14:val="tx1"/>
                  </w14:solidFill>
                </w14:textFill>
              </w:rPr>
              <w:t>基准价=所有有效评标价的平均值；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bidi="ar"/>
                <w14:textFill>
                  <w14:solidFill>
                    <w14:schemeClr w14:val="tx1"/>
                  </w14:solidFill>
                </w14:textFill>
              </w:rPr>
              <w:t>平均值：当投标单位家数＜7家时直接计算平均值；当投标单位家数≥7家时去掉一家报价最高值，去掉一家报价最低值，然后计算平均值；</w:t>
            </w:r>
          </w:p>
          <w:p>
            <w:pPr>
              <w:pStyle w:val="13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  <w:t>窗体顶端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bidi="ar"/>
                <w14:textFill>
                  <w14:solidFill>
                    <w14:schemeClr w14:val="tx1"/>
                  </w14:solidFill>
                </w14:textFill>
              </w:rPr>
              <w:t xml:space="preserve">偏差率=(投标人的评标价-评标基准价)/评标基准价*100% </w:t>
            </w:r>
          </w:p>
          <w:p>
            <w:pPr>
              <w:pStyle w:val="14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  <w:t>窗体底端</w:t>
            </w:r>
          </w:p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bidi="ar"/>
                <w14:textFill>
                  <w14:solidFill>
                    <w14:schemeClr w14:val="tx1"/>
                  </w14:solidFill>
                </w14:textFill>
              </w:rPr>
              <w:t>评标价得分计算公式：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bidi="ar"/>
                <w14:textFill>
                  <w14:solidFill>
                    <w14:schemeClr w14:val="tx1"/>
                  </w14:solidFill>
                </w14:textFill>
              </w:rPr>
              <w:t>如果投标人的评标价≥评标基准价，则评标价得分=F-偏差率*E1；E1=0.01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bidi="ar"/>
                <w14:textFill>
                  <w14:solidFill>
                    <w14:schemeClr w14:val="tx1"/>
                  </w14:solidFill>
                </w14:textFill>
              </w:rPr>
              <w:t>如果投标人的评标价＜评标基准价，则评标价得分=F+偏差率*E2；E2=0.01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kern w:val="0"/>
                <w:sz w:val="32"/>
                <w:szCs w:val="32"/>
                <w:highlight w:val="none"/>
                <w:lang w:bidi="ar"/>
                <w14:textFill>
                  <w14:solidFill>
                    <w14:schemeClr w14:val="tx1"/>
                  </w14:solidFill>
                </w14:textFill>
              </w:rPr>
              <w:t>其中F是评标价所占的权重分值，E1是评标价每高于评标基准价一个百分点的扣分值，E2是评标价每低于评标基准价一个百分点的扣分值。</w:t>
            </w:r>
          </w:p>
        </w:tc>
      </w:tr>
      <w:bookmarkEnd w:id="0"/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moder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Arial Rounded MT Bold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2000000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1" w:fontKey="{A2753C5D-71E7-420F-9531-CFD9DA8F953F}"/>
  </w:font>
  <w:font w:name="方正仿宋_GBK">
    <w:panose1 w:val="02000000000000000000"/>
    <w:charset w:val="86"/>
    <w:family w:val="auto"/>
    <w:pitch w:val="default"/>
    <w:sig w:usb0="00000001" w:usb1="080E0000" w:usb2="00000000" w:usb3="00000000" w:csb0="00040000" w:csb1="00000000"/>
    <w:embedRegular r:id="rId2" w:fontKey="{D6F4DC2A-FC93-4776-82EA-4D5E2A24D769}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3" w:fontKey="{642525D8-C295-43ED-A87C-03B41C9BD13C}"/>
  </w:font>
  <w:font w:name="Arial Rounded MT Bold">
    <w:panose1 w:val="020F0704030504030204"/>
    <w:charset w:val="00"/>
    <w:family w:val="auto"/>
    <w:pitch w:val="default"/>
    <w:sig w:usb0="00000003" w:usb1="00000000" w:usb2="00000000" w:usb3="00000000" w:csb0="2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11"/>
    <w:multiLevelType w:val="singleLevel"/>
    <w:tmpl w:val="00000011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3D44EBE7"/>
    <w:multiLevelType w:val="singleLevel"/>
    <w:tmpl w:val="3D44EBE7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TkxYTk2MjM4MzE2YjRlMGYzZmFjZTI0MDQ1OWUzN2YifQ=="/>
  </w:docVars>
  <w:rsids>
    <w:rsidRoot w:val="00120B25"/>
    <w:rsid w:val="001111AF"/>
    <w:rsid w:val="00120B25"/>
    <w:rsid w:val="00155447"/>
    <w:rsid w:val="001E3E49"/>
    <w:rsid w:val="002A7B6C"/>
    <w:rsid w:val="00330461"/>
    <w:rsid w:val="00337DBD"/>
    <w:rsid w:val="0038578A"/>
    <w:rsid w:val="003F632E"/>
    <w:rsid w:val="00413679"/>
    <w:rsid w:val="00413A10"/>
    <w:rsid w:val="0041417C"/>
    <w:rsid w:val="00482632"/>
    <w:rsid w:val="00540B99"/>
    <w:rsid w:val="006D2013"/>
    <w:rsid w:val="008531B1"/>
    <w:rsid w:val="00881E65"/>
    <w:rsid w:val="008C47E7"/>
    <w:rsid w:val="00954305"/>
    <w:rsid w:val="00987989"/>
    <w:rsid w:val="00AD60B1"/>
    <w:rsid w:val="00AF0572"/>
    <w:rsid w:val="00B91A19"/>
    <w:rsid w:val="00D221EA"/>
    <w:rsid w:val="00D9473C"/>
    <w:rsid w:val="00DB7914"/>
    <w:rsid w:val="00E61011"/>
    <w:rsid w:val="00E7383B"/>
    <w:rsid w:val="00E7767F"/>
    <w:rsid w:val="00E80CAD"/>
    <w:rsid w:val="00EB6E1B"/>
    <w:rsid w:val="00FA4C58"/>
    <w:rsid w:val="028F2D59"/>
    <w:rsid w:val="0C8935A0"/>
    <w:rsid w:val="0DA14994"/>
    <w:rsid w:val="12F64FE0"/>
    <w:rsid w:val="159F04B7"/>
    <w:rsid w:val="18DC4B4C"/>
    <w:rsid w:val="1E2B2113"/>
    <w:rsid w:val="23BF2B98"/>
    <w:rsid w:val="2E7F6821"/>
    <w:rsid w:val="2FCD86A8"/>
    <w:rsid w:val="312755EB"/>
    <w:rsid w:val="34392F5C"/>
    <w:rsid w:val="379D3C99"/>
    <w:rsid w:val="3B7F61DE"/>
    <w:rsid w:val="3C145155"/>
    <w:rsid w:val="3DD78DF8"/>
    <w:rsid w:val="3F7FB0AA"/>
    <w:rsid w:val="4A86121D"/>
    <w:rsid w:val="55496DF8"/>
    <w:rsid w:val="5D2AA40D"/>
    <w:rsid w:val="5F6E787F"/>
    <w:rsid w:val="67DD04CF"/>
    <w:rsid w:val="6AE062F3"/>
    <w:rsid w:val="6FA52855"/>
    <w:rsid w:val="7AF7548D"/>
    <w:rsid w:val="7AFB258E"/>
    <w:rsid w:val="7EBF3F41"/>
    <w:rsid w:val="7ECF1219"/>
    <w:rsid w:val="7EFB7947"/>
    <w:rsid w:val="7FB5A8A3"/>
    <w:rsid w:val="9ECF3CAC"/>
    <w:rsid w:val="BB5F8B5E"/>
    <w:rsid w:val="CBFD3F32"/>
    <w:rsid w:val="CEFDCAB5"/>
    <w:rsid w:val="DEDF6422"/>
    <w:rsid w:val="DEF7815F"/>
    <w:rsid w:val="DFF798F2"/>
    <w:rsid w:val="DFFA202C"/>
    <w:rsid w:val="E38F136F"/>
    <w:rsid w:val="EFFFBA2F"/>
    <w:rsid w:val="F3FE67F2"/>
    <w:rsid w:val="F8FF526A"/>
    <w:rsid w:val="FDEDB013"/>
    <w:rsid w:val="FDEFE6EE"/>
    <w:rsid w:val="FEFE08E7"/>
    <w:rsid w:val="FEFFBB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1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5"/>
    <w:qFormat/>
    <w:uiPriority w:val="9"/>
    <w:pPr>
      <w:widowControl/>
      <w:spacing w:before="100" w:beforeAutospacing="1" w:after="100" w:afterAutospacing="1"/>
      <w:jc w:val="left"/>
      <w:outlineLvl w:val="0"/>
    </w:pPr>
    <w:rPr>
      <w:rFonts w:ascii="宋体" w:hAnsi="宋体" w:eastAsia="宋体" w:cs="宋体"/>
      <w:b/>
      <w:bCs/>
      <w:kern w:val="36"/>
      <w:sz w:val="48"/>
      <w:szCs w:val="48"/>
    </w:rPr>
  </w:style>
  <w:style w:type="paragraph" w:styleId="3">
    <w:name w:val="heading 2"/>
    <w:basedOn w:val="1"/>
    <w:next w:val="1"/>
    <w:qFormat/>
    <w:uiPriority w:val="1"/>
    <w:pPr>
      <w:spacing w:before="58"/>
      <w:ind w:left="561"/>
      <w:jc w:val="center"/>
      <w:outlineLvl w:val="1"/>
    </w:pPr>
    <w:rPr>
      <w:b/>
      <w:bCs/>
      <w:sz w:val="30"/>
      <w:szCs w:val="30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8">
    <w:name w:val="Table Grid"/>
    <w:basedOn w:val="7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0">
    <w:name w:val="页眉 字符"/>
    <w:basedOn w:val="9"/>
    <w:link w:val="5"/>
    <w:qFormat/>
    <w:uiPriority w:val="99"/>
    <w:rPr>
      <w:sz w:val="18"/>
      <w:szCs w:val="18"/>
    </w:rPr>
  </w:style>
  <w:style w:type="character" w:customStyle="1" w:styleId="11">
    <w:name w:val="页脚 字符"/>
    <w:basedOn w:val="9"/>
    <w:link w:val="4"/>
    <w:qFormat/>
    <w:uiPriority w:val="99"/>
    <w:rPr>
      <w:sz w:val="18"/>
      <w:szCs w:val="18"/>
    </w:rPr>
  </w:style>
  <w:style w:type="character" w:customStyle="1" w:styleId="12">
    <w:name w:val="fontstyle01"/>
    <w:basedOn w:val="9"/>
    <w:qFormat/>
    <w:uiPriority w:val="0"/>
    <w:rPr>
      <w:rFonts w:hint="eastAsia" w:ascii="宋体" w:hAnsi="宋体" w:eastAsia="宋体"/>
      <w:color w:val="000000"/>
      <w:sz w:val="24"/>
      <w:szCs w:val="24"/>
    </w:rPr>
  </w:style>
  <w:style w:type="paragraph" w:customStyle="1" w:styleId="13">
    <w:name w:val="_Style 2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hAnsi="Times New Roman" w:eastAsia="宋体" w:cs="Times New Roman"/>
      <w:vanish/>
      <w:sz w:val="16"/>
      <w:szCs w:val="24"/>
    </w:rPr>
  </w:style>
  <w:style w:type="paragraph" w:customStyle="1" w:styleId="14">
    <w:name w:val="_Style 3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hAnsi="Times New Roman" w:eastAsia="宋体" w:cs="Times New Roman"/>
      <w:vanish/>
      <w:sz w:val="16"/>
      <w:szCs w:val="24"/>
    </w:rPr>
  </w:style>
  <w:style w:type="character" w:customStyle="1" w:styleId="15">
    <w:name w:val="标题 1 字符"/>
    <w:basedOn w:val="9"/>
    <w:link w:val="2"/>
    <w:qFormat/>
    <w:uiPriority w:val="9"/>
    <w:rPr>
      <w:rFonts w:ascii="宋体" w:hAnsi="宋体" w:eastAsia="宋体" w:cs="宋体"/>
      <w:b/>
      <w:bCs/>
      <w:kern w:val="36"/>
      <w:sz w:val="48"/>
      <w:szCs w:val="48"/>
    </w:rPr>
  </w:style>
  <w:style w:type="paragraph" w:styleId="16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9</Pages>
  <Words>2642</Words>
  <Characters>2856</Characters>
  <Lines>22</Lines>
  <Paragraphs>6</Paragraphs>
  <TotalTime>23</TotalTime>
  <ScaleCrop>false</ScaleCrop>
  <LinksUpToDate>false</LinksUpToDate>
  <CharactersWithSpaces>2871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2024-06-28T17:47:00Z</dcterms:created>
  <dc:creator>kang sun</dc:creator>
  <cp:lastModifiedBy>Administrator</cp:lastModifiedBy>
  <cp:lastPrinted>2024-12-23T16:20:00Z</cp:lastPrinted>
  <dcterms:modified xsi:type="dcterms:W3CDTF">2024-12-25T13:57:07Z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7E2311DEE6DE4BCD9CA91E876E3A6B92_13</vt:lpwstr>
  </property>
</Properties>
</file>