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59" w:type="dxa"/>
        <w:jc w:val="center"/>
        <w:tblLayout w:type="fixed"/>
        <w:tblCellMar>
          <w:top w:w="0" w:type="dxa"/>
          <w:left w:w="108" w:type="dxa"/>
          <w:bottom w:w="0" w:type="dxa"/>
          <w:right w:w="108" w:type="dxa"/>
        </w:tblCellMar>
      </w:tblPr>
      <w:tblGrid>
        <w:gridCol w:w="1194"/>
        <w:gridCol w:w="6555"/>
        <w:gridCol w:w="1210"/>
      </w:tblGrid>
      <w:tr>
        <w:tblPrEx>
          <w:tblCellMar>
            <w:top w:w="0" w:type="dxa"/>
            <w:left w:w="108" w:type="dxa"/>
            <w:bottom w:w="0" w:type="dxa"/>
            <w:right w:w="108" w:type="dxa"/>
          </w:tblCellMar>
        </w:tblPrEx>
        <w:trPr>
          <w:trHeight w:val="847"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方正仿宋_GBK" w:hAnsi="宋体" w:eastAsia="方正仿宋_GBK" w:cs="方正仿宋_GBK"/>
                <w:sz w:val="24"/>
                <w:szCs w:val="24"/>
              </w:rPr>
            </w:pPr>
            <w:r>
              <w:rPr>
                <w:rFonts w:hint="eastAsia" w:ascii="方正仿宋_GBK" w:hAnsi="宋体" w:eastAsia="方正仿宋_GBK" w:cs="方正仿宋_GBK"/>
                <w:kern w:val="0"/>
                <w:sz w:val="24"/>
                <w:szCs w:val="24"/>
              </w:rPr>
              <w:t>评审部分</w:t>
            </w:r>
          </w:p>
        </w:tc>
        <w:tc>
          <w:tcPr>
            <w:tcW w:w="6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宋体" w:eastAsia="方正仿宋_GBK" w:cs="方正仿宋_GBK"/>
                <w:sz w:val="24"/>
                <w:szCs w:val="24"/>
              </w:rPr>
            </w:pPr>
            <w:r>
              <w:rPr>
                <w:rFonts w:hint="eastAsia" w:ascii="方正仿宋_GBK" w:hAnsi="宋体" w:eastAsia="方正仿宋_GBK" w:cs="方正仿宋_GBK"/>
                <w:kern w:val="0"/>
                <w:sz w:val="24"/>
                <w:szCs w:val="24"/>
              </w:rPr>
              <w:t>评审内容</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方正仿宋_GBK" w:hAnsi="宋体" w:eastAsia="方正仿宋_GBK" w:cs="方正仿宋_GBK"/>
                <w:sz w:val="24"/>
                <w:szCs w:val="24"/>
              </w:rPr>
            </w:pPr>
            <w:r>
              <w:rPr>
                <w:rFonts w:hint="eastAsia" w:ascii="方正仿宋_GBK" w:hAnsi="宋体" w:eastAsia="方正仿宋_GBK" w:cs="方正仿宋_GBK"/>
                <w:kern w:val="0"/>
                <w:sz w:val="24"/>
                <w:szCs w:val="24"/>
              </w:rPr>
              <w:t>是否通过</w:t>
            </w:r>
          </w:p>
        </w:tc>
      </w:tr>
      <w:tr>
        <w:tblPrEx>
          <w:tblCellMar>
            <w:top w:w="0" w:type="dxa"/>
            <w:left w:w="108" w:type="dxa"/>
            <w:bottom w:w="0" w:type="dxa"/>
            <w:right w:w="108" w:type="dxa"/>
          </w:tblCellMar>
        </w:tblPrEx>
        <w:trPr>
          <w:trHeight w:val="3232"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6" w:lineRule="exact"/>
              <w:textAlignment w:val="center"/>
              <w:rPr>
                <w:rFonts w:hint="eastAsia" w:ascii="方正仿宋_GBK" w:hAnsi="宋体" w:eastAsia="方正仿宋_GBK" w:cs="仿宋_GB2312"/>
                <w:b/>
                <w:bCs/>
                <w:sz w:val="24"/>
                <w:szCs w:val="24"/>
              </w:rPr>
            </w:pPr>
            <w:r>
              <w:rPr>
                <w:rFonts w:hint="eastAsia" w:ascii="方正仿宋_GBK" w:hAnsi="宋体" w:eastAsia="方正仿宋_GBK" w:cs="仿宋_GB2312"/>
                <w:b/>
                <w:bCs/>
                <w:kern w:val="0"/>
                <w:sz w:val="24"/>
                <w:szCs w:val="24"/>
              </w:rPr>
              <w:t>资格条件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1、本次遴选要求招标代理单位营业执照经营范围内包含招标代理机构的相关内容；</w:t>
            </w:r>
          </w:p>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2、三年（2021年至今）具有不少于3个与本项目类似的招标代理业绩（以中标通知书或合同为准）；</w:t>
            </w:r>
          </w:p>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3、提供近三年（2021-2023年度，若企业成立不足三年则提供成立以来的财务报表）的经会计师事务所或审计机构审计的财务会计报告；</w:t>
            </w:r>
          </w:p>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4、须按照藏建市管〔2023〕62号完成企业资质信息报送。</w:t>
            </w:r>
          </w:p>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5、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widowControl/>
              <w:spacing w:line="576" w:lineRule="exact"/>
              <w:textAlignment w:val="center"/>
              <w:rPr>
                <w:rFonts w:hint="eastAsia" w:ascii="方正仿宋_GBK" w:hAnsi="宋体" w:eastAsia="方正仿宋_GBK" w:cs="方正仿宋_GBK"/>
                <w:kern w:val="0"/>
                <w:sz w:val="24"/>
                <w:szCs w:val="24"/>
              </w:rPr>
            </w:pPr>
            <w:r>
              <w:rPr>
                <w:rFonts w:hint="eastAsia" w:ascii="方正仿宋_GBK" w:hAnsi="宋体" w:eastAsia="方正仿宋_GBK" w:cs="方正仿宋_GBK"/>
                <w:kern w:val="0"/>
                <w:sz w:val="24"/>
                <w:szCs w:val="24"/>
              </w:rPr>
              <w:t>6、本项目不接受联合体。</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6" w:lineRule="exact"/>
              <w:rPr>
                <w:rFonts w:hint="eastAsia" w:ascii="方正仿宋_GBK" w:hAnsi="宋体" w:eastAsia="方正仿宋_GBK" w:cs="仿宋_GB2312"/>
                <w:sz w:val="24"/>
                <w:szCs w:val="24"/>
              </w:rPr>
            </w:pPr>
          </w:p>
        </w:tc>
      </w:tr>
      <w:tr>
        <w:tblPrEx>
          <w:tblCellMar>
            <w:top w:w="0" w:type="dxa"/>
            <w:left w:w="108" w:type="dxa"/>
            <w:bottom w:w="0" w:type="dxa"/>
            <w:right w:w="108" w:type="dxa"/>
          </w:tblCellMar>
        </w:tblPrEx>
        <w:trPr>
          <w:trHeight w:val="785" w:hRule="atLeast"/>
          <w:jc w:val="center"/>
        </w:trPr>
        <w:tc>
          <w:tcPr>
            <w:tcW w:w="89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6" w:lineRule="exact"/>
              <w:textAlignment w:val="center"/>
              <w:rPr>
                <w:rFonts w:hint="eastAsia" w:ascii="方正仿宋_GBK" w:hAnsi="宋体" w:eastAsia="方正仿宋_GBK" w:cs="仿宋_GB2312"/>
                <w:b/>
                <w:bCs/>
                <w:kern w:val="0"/>
                <w:sz w:val="24"/>
                <w:szCs w:val="24"/>
              </w:rPr>
            </w:pPr>
            <w:r>
              <w:rPr>
                <w:rFonts w:hint="eastAsia" w:ascii="方正仿宋_GBK" w:hAnsi="宋体" w:eastAsia="方正仿宋_GBK" w:cs="方正仿宋_GBK"/>
                <w:b/>
                <w:bCs/>
                <w:kern w:val="0"/>
                <w:sz w:val="24"/>
                <w:szCs w:val="24"/>
              </w:rPr>
              <w:t>通过资格条件评审的才能进入详细评审，详细评审总得分100分，分值如下：</w:t>
            </w:r>
          </w:p>
        </w:tc>
      </w:tr>
    </w:tbl>
    <w:tbl>
      <w:tblPr>
        <w:tblStyle w:val="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55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tcPr>
          <w:p>
            <w:pPr>
              <w:widowControl/>
              <w:spacing w:line="576" w:lineRule="exact"/>
              <w:textAlignment w:val="center"/>
              <w:rPr>
                <w:rFonts w:hint="eastAsia" w:ascii="方正仿宋_GBK" w:eastAsia="方正仿宋_GBK" w:cs="方正仿宋_GBK" w:hAnsiTheme="minorEastAsia"/>
                <w:kern w:val="0"/>
                <w:sz w:val="24"/>
                <w:szCs w:val="24"/>
              </w:rPr>
            </w:pPr>
            <w:bookmarkStart w:id="0" w:name="_Hlk148612614"/>
            <w:r>
              <w:rPr>
                <w:rFonts w:hint="eastAsia" w:ascii="方正仿宋_GBK" w:eastAsia="方正仿宋_GBK" w:cs="方正仿宋_GBK" w:hAnsiTheme="minorEastAsia"/>
                <w:kern w:val="0"/>
                <w:sz w:val="24"/>
                <w:szCs w:val="24"/>
              </w:rPr>
              <w:t>评选项目</w:t>
            </w:r>
          </w:p>
        </w:tc>
        <w:tc>
          <w:tcPr>
            <w:tcW w:w="6557" w:type="dxa"/>
            <w:vAlign w:val="center"/>
          </w:tcPr>
          <w:p>
            <w:pPr>
              <w:widowControl/>
              <w:spacing w:line="576" w:lineRule="exact"/>
              <w:jc w:val="center"/>
              <w:textAlignment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评选内容</w:t>
            </w:r>
          </w:p>
        </w:tc>
        <w:tc>
          <w:tcPr>
            <w:tcW w:w="1228" w:type="dxa"/>
            <w:vAlign w:val="center"/>
          </w:tcPr>
          <w:p>
            <w:pPr>
              <w:widowControl/>
              <w:spacing w:line="576" w:lineRule="exact"/>
              <w:textAlignment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评选得分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182" w:type="dxa"/>
            <w:vAlign w:val="center"/>
          </w:tcPr>
          <w:p>
            <w:pPr>
              <w:spacing w:line="576" w:lineRule="exact"/>
              <w:jc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sz w:val="24"/>
                <w:szCs w:val="24"/>
              </w:rPr>
              <w:t>企业综合资历</w:t>
            </w:r>
          </w:p>
        </w:tc>
        <w:tc>
          <w:tcPr>
            <w:tcW w:w="6557" w:type="dxa"/>
          </w:tcPr>
          <w:p>
            <w:pPr>
              <w:pStyle w:val="4"/>
              <w:spacing w:line="576" w:lineRule="exact"/>
              <w:jc w:val="left"/>
              <w:rPr>
                <w:rFonts w:hint="eastAsia" w:ascii="方正仿宋_GBK" w:eastAsia="方正仿宋_GBK" w:cs="方正仿宋_GBK" w:hAnsiTheme="minorEastAsia"/>
                <w:szCs w:val="24"/>
              </w:rPr>
            </w:pPr>
            <w:r>
              <w:rPr>
                <w:rFonts w:hint="eastAsia" w:ascii="方正仿宋_GBK" w:eastAsia="方正仿宋_GBK" w:cs="方正仿宋_GBK" w:hAnsiTheme="minorEastAsia"/>
                <w:szCs w:val="24"/>
              </w:rPr>
              <w:t>1、具有依法缴纳税收和社会保障资金的良好记录，提供近半年（2023年10月至今）任意一个月的纳税凭证（银行出具的纳税凭证或税务机关出具的证明文件并加盖单位公章）或免税证明。满分4分，提供不齐全或未提供不得分。</w:t>
            </w:r>
          </w:p>
          <w:p>
            <w:pPr>
              <w:spacing w:line="576" w:lineRule="exact"/>
              <w:rPr>
                <w:rFonts w:hint="eastAsia" w:ascii="方正仿宋_GBK" w:eastAsia="方正仿宋_GBK" w:cs="方正仿宋_GBK" w:hAnsiTheme="minorEastAsia"/>
                <w:sz w:val="24"/>
                <w:szCs w:val="24"/>
              </w:rPr>
            </w:pPr>
            <w:r>
              <w:rPr>
                <w:rFonts w:hint="eastAsia" w:ascii="方正仿宋_GBK" w:eastAsia="方正仿宋_GBK" w:cs="方正仿宋_GBK" w:hAnsiTheme="minorEastAsia"/>
                <w:sz w:val="24"/>
                <w:szCs w:val="24"/>
              </w:rPr>
              <w:t>2、提供在西藏自治区政府采购网政府代理机构上登记备案的相关信息截图、西藏自治区公共资源交易平台备案证截图、西藏自治区建筑市场监管服务平台备案截图。满分6分，未提供或提供不齐全不得分。</w:t>
            </w:r>
          </w:p>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sz w:val="24"/>
                <w:szCs w:val="24"/>
              </w:rPr>
              <w:t>3、具备在藏独立办公场所和必须的办公条件；具备开标室、评标室、监控室等基本场所。需提供场地照片、租房合同或房产证,满分8分，不提供或提供不齐全不得分。</w:t>
            </w:r>
          </w:p>
        </w:tc>
        <w:tc>
          <w:tcPr>
            <w:tcW w:w="1228"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82" w:type="dxa"/>
            <w:vAlign w:val="center"/>
          </w:tcPr>
          <w:p>
            <w:pPr>
              <w:spacing w:line="576" w:lineRule="exact"/>
              <w:rPr>
                <w:rFonts w:hint="eastAsia" w:ascii="方正仿宋_GBK" w:eastAsia="方正仿宋_GBK" w:cs="方正仿宋_GBK" w:hAnsiTheme="minorEastAsia"/>
                <w:kern w:val="0"/>
                <w:sz w:val="24"/>
                <w:szCs w:val="24"/>
                <w:highlight w:val="none"/>
              </w:rPr>
            </w:pPr>
            <w:r>
              <w:rPr>
                <w:rFonts w:hint="eastAsia" w:ascii="方正仿宋_GBK" w:eastAsia="方正仿宋_GBK" w:cs="方正仿宋_GBK" w:hAnsiTheme="minorEastAsia"/>
                <w:sz w:val="24"/>
                <w:szCs w:val="24"/>
                <w:highlight w:val="none"/>
              </w:rPr>
              <w:t>专业人员</w:t>
            </w:r>
          </w:p>
        </w:tc>
        <w:tc>
          <w:tcPr>
            <w:tcW w:w="6557" w:type="dxa"/>
            <w:vAlign w:val="center"/>
          </w:tcPr>
          <w:p>
            <w:pPr>
              <w:pStyle w:val="4"/>
              <w:spacing w:line="576" w:lineRule="exact"/>
              <w:jc w:val="left"/>
              <w:rPr>
                <w:rFonts w:hint="eastAsia" w:ascii="方正仿宋_GBK" w:eastAsia="方正仿宋_GBK" w:cs="方正仿宋_GBK" w:hAnsiTheme="minorEastAsia"/>
                <w:szCs w:val="24"/>
                <w:highlight w:val="none"/>
              </w:rPr>
            </w:pPr>
            <w:r>
              <w:rPr>
                <w:rFonts w:hint="eastAsia" w:ascii="方正仿宋_GBK" w:eastAsia="方正仿宋_GBK" w:cs="方正仿宋_GBK" w:hAnsiTheme="minorEastAsia"/>
                <w:szCs w:val="24"/>
                <w:highlight w:val="none"/>
              </w:rPr>
              <w:t>1、每提供1名本公司高级（或以上）职称人员得2分，满分10分；</w:t>
            </w:r>
          </w:p>
          <w:p>
            <w:pPr>
              <w:spacing w:line="576" w:lineRule="exact"/>
              <w:rPr>
                <w:rFonts w:hint="eastAsia" w:ascii="方正仿宋_GBK" w:eastAsia="方正仿宋_GBK" w:cs="方正仿宋_GBK" w:hAnsiTheme="minorEastAsia"/>
                <w:sz w:val="24"/>
                <w:szCs w:val="24"/>
                <w:highlight w:val="none"/>
              </w:rPr>
            </w:pPr>
            <w:r>
              <w:rPr>
                <w:rFonts w:hint="eastAsia" w:ascii="方正仿宋_GBK" w:eastAsia="方正仿宋_GBK" w:cs="方正仿宋_GBK" w:hAnsiTheme="minorEastAsia"/>
                <w:sz w:val="24"/>
                <w:szCs w:val="24"/>
                <w:highlight w:val="none"/>
              </w:rPr>
              <w:t>2、每提供1名注册于本公司的全国一级注册造价工程师得2分，满分8分；</w:t>
            </w:r>
          </w:p>
          <w:p>
            <w:pPr>
              <w:pStyle w:val="2"/>
              <w:spacing w:line="576" w:lineRule="exact"/>
              <w:ind w:firstLine="0"/>
              <w:rPr>
                <w:rFonts w:hint="eastAsia" w:ascii="方正仿宋_GBK" w:eastAsia="方正仿宋_GBK" w:cs="方正仿宋_GBK" w:hAnsiTheme="minorEastAsia"/>
                <w:sz w:val="24"/>
                <w:highlight w:val="none"/>
              </w:rPr>
            </w:pPr>
            <w:r>
              <w:rPr>
                <w:rFonts w:hint="eastAsia" w:ascii="方正仿宋_GBK" w:eastAsia="方正仿宋_GBK" w:cs="方正仿宋_GBK" w:hAnsiTheme="minorEastAsia"/>
                <w:sz w:val="24"/>
                <w:highlight w:val="none"/>
              </w:rPr>
              <w:t>3、每提供1名本公司中级（或以上）职称人员得1分，满分4分；</w:t>
            </w:r>
          </w:p>
          <w:p>
            <w:pPr>
              <w:pStyle w:val="3"/>
              <w:spacing w:line="576" w:lineRule="exact"/>
              <w:rPr>
                <w:rFonts w:hint="eastAsia" w:ascii="方正仿宋_GBK" w:eastAsia="方正仿宋_GBK" w:cs="方正仿宋_GBK" w:hAnsiTheme="minorEastAsia"/>
                <w:sz w:val="24"/>
                <w:szCs w:val="24"/>
                <w:highlight w:val="none"/>
              </w:rPr>
            </w:pPr>
            <w:r>
              <w:rPr>
                <w:rFonts w:hint="eastAsia" w:ascii="方正仿宋_GBK" w:eastAsia="方正仿宋_GBK" w:cs="方正仿宋_GBK" w:hAnsiTheme="minorEastAsia"/>
                <w:sz w:val="24"/>
                <w:szCs w:val="24"/>
                <w:highlight w:val="none"/>
              </w:rPr>
              <w:t>4、每提供1名本公司政府采购专职人员得1分，满分10分。</w:t>
            </w:r>
          </w:p>
          <w:p>
            <w:pPr>
              <w:spacing w:line="576" w:lineRule="exact"/>
              <w:rPr>
                <w:rFonts w:hint="eastAsia" w:ascii="方正仿宋_GBK" w:eastAsia="方正仿宋_GBK" w:cs="方正仿宋_GBK" w:hAnsiTheme="minorEastAsia"/>
                <w:kern w:val="0"/>
                <w:sz w:val="24"/>
                <w:szCs w:val="24"/>
                <w:highlight w:val="none"/>
              </w:rPr>
            </w:pPr>
            <w:r>
              <w:rPr>
                <w:rFonts w:hint="eastAsia" w:ascii="方正仿宋_GBK" w:eastAsia="方正仿宋_GBK" w:cs="方正仿宋_GBK" w:hAnsiTheme="minorEastAsia"/>
                <w:sz w:val="24"/>
                <w:szCs w:val="24"/>
                <w:highlight w:val="none"/>
              </w:rPr>
              <w:t>备注：以上人员须提供 近6个月以来任意一月的人员社保证明（2023年11月）</w:t>
            </w:r>
          </w:p>
        </w:tc>
        <w:tc>
          <w:tcPr>
            <w:tcW w:w="1228" w:type="dxa"/>
            <w:vAlign w:val="center"/>
          </w:tcPr>
          <w:p>
            <w:pPr>
              <w:spacing w:line="576" w:lineRule="exact"/>
              <w:jc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82"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sz w:val="24"/>
                <w:szCs w:val="24"/>
              </w:rPr>
              <w:t>企业业绩</w:t>
            </w:r>
          </w:p>
        </w:tc>
        <w:tc>
          <w:tcPr>
            <w:tcW w:w="6557"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sz w:val="24"/>
                <w:szCs w:val="24"/>
              </w:rPr>
              <w:t>类似项目招标代理业绩每提供一项得2分，满分18分</w:t>
            </w:r>
          </w:p>
        </w:tc>
        <w:tc>
          <w:tcPr>
            <w:tcW w:w="1228" w:type="dxa"/>
            <w:vAlign w:val="center"/>
          </w:tcPr>
          <w:p>
            <w:pPr>
              <w:spacing w:line="576" w:lineRule="exact"/>
              <w:jc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82"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sz w:val="24"/>
                <w:szCs w:val="24"/>
              </w:rPr>
              <w:t>服务方案</w:t>
            </w:r>
          </w:p>
        </w:tc>
        <w:tc>
          <w:tcPr>
            <w:tcW w:w="6557"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p>
            <w:pPr>
              <w:spacing w:line="576" w:lineRule="exact"/>
              <w:rPr>
                <w:rFonts w:hint="eastAsia" w:ascii="方正仿宋_GBK" w:eastAsia="方正仿宋_GBK" w:cs="方正仿宋_GBK" w:hAnsiTheme="minorEastAsia"/>
                <w:kern w:val="0"/>
                <w:sz w:val="24"/>
                <w:szCs w:val="24"/>
              </w:rPr>
            </w:pPr>
            <w:bookmarkStart w:id="1" w:name="_GoBack"/>
            <w:r>
              <w:rPr>
                <w:rFonts w:hint="eastAsia" w:ascii="方正仿宋_GBK" w:eastAsia="方正仿宋_GBK" w:cs="方正仿宋_GBK" w:hAnsiTheme="minorEastAsia"/>
                <w:kern w:val="0"/>
                <w:sz w:val="24"/>
                <w:szCs w:val="24"/>
                <w:highlight w:val="none"/>
              </w:rPr>
              <w:t>注：服务方案页数控制在300页以内，否则不得分。</w:t>
            </w:r>
            <w:bookmarkEnd w:id="1"/>
          </w:p>
        </w:tc>
        <w:tc>
          <w:tcPr>
            <w:tcW w:w="1228" w:type="dxa"/>
            <w:vAlign w:val="center"/>
          </w:tcPr>
          <w:p>
            <w:pPr>
              <w:spacing w:line="576" w:lineRule="exact"/>
              <w:jc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82" w:type="dxa"/>
            <w:vAlign w:val="center"/>
          </w:tcPr>
          <w:p>
            <w:pPr>
              <w:spacing w:line="576" w:lineRule="exact"/>
              <w:jc w:val="center"/>
              <w:rPr>
                <w:rFonts w:hint="eastAsia" w:ascii="方正仿宋_GBK" w:eastAsia="方正仿宋_GBK" w:cs="方正仿宋_GBK" w:hAnsiTheme="minorEastAsia"/>
                <w:sz w:val="24"/>
                <w:szCs w:val="24"/>
              </w:rPr>
            </w:pPr>
            <w:r>
              <w:rPr>
                <w:rFonts w:hint="eastAsia" w:ascii="方正仿宋_GBK" w:eastAsia="方正仿宋_GBK" w:cs="方正仿宋_GBK" w:hAnsiTheme="minorEastAsia"/>
                <w:kern w:val="0"/>
                <w:sz w:val="24"/>
                <w:szCs w:val="24"/>
              </w:rPr>
              <w:t>服务响应承诺</w:t>
            </w:r>
          </w:p>
        </w:tc>
        <w:tc>
          <w:tcPr>
            <w:tcW w:w="6557" w:type="dxa"/>
            <w:vAlign w:val="center"/>
          </w:tcPr>
          <w:p>
            <w:pPr>
              <w:spacing w:line="576" w:lineRule="exact"/>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供应商提供招标方案、工程量清单、招标文件编制承诺，响应时间积极、满足项目需求，针对整个项目进程须有计划。有承诺承诺的得8分；不提供不得分。</w:t>
            </w:r>
          </w:p>
        </w:tc>
        <w:tc>
          <w:tcPr>
            <w:tcW w:w="1228" w:type="dxa"/>
            <w:vAlign w:val="center"/>
          </w:tcPr>
          <w:p>
            <w:pPr>
              <w:spacing w:line="576" w:lineRule="exact"/>
              <w:jc w:val="center"/>
              <w:rPr>
                <w:rFonts w:hint="eastAsia" w:ascii="方正仿宋_GBK" w:eastAsia="方正仿宋_GBK" w:cs="方正仿宋_GBK" w:hAnsiTheme="minorEastAsia"/>
                <w:kern w:val="0"/>
                <w:sz w:val="24"/>
                <w:szCs w:val="24"/>
              </w:rPr>
            </w:pPr>
            <w:r>
              <w:rPr>
                <w:rFonts w:hint="eastAsia" w:ascii="方正仿宋_GBK" w:eastAsia="方正仿宋_GBK" w:cs="方正仿宋_GBK" w:hAnsiTheme="minorEastAsia"/>
                <w:kern w:val="0"/>
                <w:sz w:val="24"/>
                <w:szCs w:val="24"/>
              </w:rPr>
              <w:t>满分8分</w:t>
            </w:r>
          </w:p>
        </w:tc>
      </w:tr>
      <w:bookmarkEnd w:id="0"/>
    </w:tbl>
    <w:p>
      <w:pPr>
        <w:spacing w:line="576" w:lineRule="exact"/>
        <w:rPr>
          <w:rFonts w:hint="eastAsia" w:ascii="方正仿宋_GBK" w:hAnsi="仿宋_GB2312" w:eastAsia="方正仿宋_GBK" w:cs="仿宋_GB2312"/>
        </w:rPr>
      </w:pPr>
    </w:p>
    <w:p>
      <w:pPr>
        <w:spacing w:line="576" w:lineRule="exact"/>
        <w:rPr>
          <w:rFonts w:hint="eastAsia" w:ascii="方正仿宋_GBK" w:hAnsi="仿宋_GB2312" w:eastAsia="方正仿宋_GBK" w:cs="仿宋_GB2312"/>
        </w:rPr>
      </w:pPr>
    </w:p>
    <w:p>
      <w:pPr>
        <w:spacing w:line="576" w:lineRule="exact"/>
        <w:rPr>
          <w:rFonts w:hint="eastAsia" w:ascii="方正仿宋_GBK" w:eastAsia="方正仿宋_GBK"/>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Microsoft Himalaya">
    <w:panose1 w:val="01010100010101010101"/>
    <w:charset w:val="00"/>
    <w:family w:val="auto"/>
    <w:pitch w:val="default"/>
    <w:sig w:usb0="80000003" w:usb1="00010000" w:usb2="00000040" w:usb3="00000000" w:csb0="0000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3AAE44E2-4ED1-419C-8734-BA6C7720D3D8}"/>
  </w:font>
  <w:font w:name="仿宋_GB2312">
    <w:panose1 w:val="02010609030101010101"/>
    <w:charset w:val="86"/>
    <w:family w:val="modern"/>
    <w:pitch w:val="default"/>
    <w:sig w:usb0="00000001" w:usb1="080E0000" w:usb2="00000000" w:usb3="00000000" w:csb0="00040000" w:csb1="00000000"/>
    <w:embedRegular r:id="rId2" w:fontKey="{5D60CAD1-0668-46BD-A711-054144FE2826}"/>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42E60667"/>
    <w:rsid w:val="000F2ADA"/>
    <w:rsid w:val="001E2AA0"/>
    <w:rsid w:val="00232AA5"/>
    <w:rsid w:val="003655FA"/>
    <w:rsid w:val="00377683"/>
    <w:rsid w:val="0043065C"/>
    <w:rsid w:val="004B2203"/>
    <w:rsid w:val="007A2316"/>
    <w:rsid w:val="007A7D8A"/>
    <w:rsid w:val="007C4594"/>
    <w:rsid w:val="00816580"/>
    <w:rsid w:val="009619CD"/>
    <w:rsid w:val="009E0740"/>
    <w:rsid w:val="00A8299B"/>
    <w:rsid w:val="00B970BC"/>
    <w:rsid w:val="00BD4CA2"/>
    <w:rsid w:val="00C56579"/>
    <w:rsid w:val="00C6208C"/>
    <w:rsid w:val="00C652FA"/>
    <w:rsid w:val="00C6713A"/>
    <w:rsid w:val="00D725B4"/>
    <w:rsid w:val="00DE6A21"/>
    <w:rsid w:val="024535A0"/>
    <w:rsid w:val="21751354"/>
    <w:rsid w:val="42E60667"/>
    <w:rsid w:val="4A300509"/>
    <w:rsid w:val="4A6D439C"/>
    <w:rsid w:val="57BFCF4F"/>
    <w:rsid w:val="5EF7B368"/>
    <w:rsid w:val="60B81ABE"/>
    <w:rsid w:val="67EEC550"/>
    <w:rsid w:val="6EFA7392"/>
    <w:rsid w:val="9B7A76A5"/>
    <w:rsid w:val="9FFCA6FD"/>
    <w:rsid w:val="BFFF09BC"/>
    <w:rsid w:val="CB1C8F2C"/>
    <w:rsid w:val="D0AF06E0"/>
    <w:rsid w:val="D75FC70E"/>
    <w:rsid w:val="DECFFCF1"/>
    <w:rsid w:val="EBFF1083"/>
    <w:rsid w:val="EFB60EC2"/>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ind w:firstLine="640"/>
    </w:pPr>
    <w:rPr>
      <w:sz w:val="32"/>
      <w:szCs w:val="24"/>
    </w:rPr>
  </w:style>
  <w:style w:type="paragraph" w:styleId="3">
    <w:name w:val="Balloon Text"/>
    <w:basedOn w:val="1"/>
    <w:next w:val="1"/>
    <w:semiHidden/>
    <w:qFormat/>
    <w:uiPriority w:val="99"/>
    <w:rPr>
      <w:sz w:val="18"/>
      <w:szCs w:val="18"/>
    </w:rPr>
  </w:style>
  <w:style w:type="paragraph" w:styleId="4">
    <w:name w:val="Date"/>
    <w:basedOn w:val="1"/>
    <w:next w:val="1"/>
    <w:qFormat/>
    <w:uiPriority w:val="0"/>
    <w:rPr>
      <w:sz w:val="24"/>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lang w:bidi="ar-SA"/>
    </w:rPr>
  </w:style>
  <w:style w:type="character" w:customStyle="1" w:styleId="12">
    <w:name w:val="页脚 字符"/>
    <w:basedOn w:val="10"/>
    <w:link w:val="5"/>
    <w:qFormat/>
    <w:uiPriority w:val="0"/>
    <w:rPr>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1959</Words>
  <Characters>2052</Characters>
  <Lines>15</Lines>
  <Paragraphs>4</Paragraphs>
  <TotalTime>34</TotalTime>
  <ScaleCrop>false</ScaleCrop>
  <LinksUpToDate>false</LinksUpToDate>
  <CharactersWithSpaces>2054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2024-12-16T20:11:00Z</dcterms:created>
  <dc:creator>Demon W</dc:creator>
  <cp:lastModifiedBy>Administrator</cp:lastModifiedBy>
  <cp:lastPrinted>2024-12-12T20:49:00Z</cp:lastPrinted>
  <dcterms:modified xsi:type="dcterms:W3CDTF">2024-12-18T03:14:39Z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2BCEB8D947824D2A859E9BA45DF3DBED_13</vt:lpwstr>
  </property>
</Properties>
</file>