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sz w:val="28"/>
          <w:szCs w:val="28"/>
          <w14:textFill>
            <w14:solidFill>
              <w14:schemeClr w14:val="tx1"/>
            </w14:solidFill>
          </w14:textFill>
        </w:rPr>
      </w:pPr>
      <w:bookmarkStart w:id="1" w:name="_GoBack"/>
      <w:r>
        <w:rPr>
          <w:rFonts w:hint="eastAsia" w:ascii="方正仿宋_GBK" w:hAnsi="方正仿宋_GBK" w:eastAsia="方正仿宋_GBK" w:cs="方正仿宋_GBK"/>
          <w:color w:val="000000" w:themeColor="text1"/>
          <w:sz w:val="28"/>
          <w:szCs w:val="28"/>
          <w14:textFill>
            <w14:solidFill>
              <w14:schemeClr w14:val="tx1"/>
            </w14:solidFill>
          </w14:textFill>
        </w:rPr>
        <w:t>附件：遴选办法具体内容</w:t>
      </w:r>
    </w:p>
    <w:bookmarkEnd w:id="1"/>
    <w:tbl>
      <w:tblPr>
        <w:tblStyle w:val="6"/>
        <w:tblW w:w="8959" w:type="dxa"/>
        <w:jc w:val="center"/>
        <w:tblLayout w:type="autofit"/>
        <w:tblCellMar>
          <w:top w:w="0" w:type="dxa"/>
          <w:left w:w="108" w:type="dxa"/>
          <w:bottom w:w="0" w:type="dxa"/>
          <w:right w:w="108" w:type="dxa"/>
        </w:tblCellMar>
      </w:tblPr>
      <w:tblGrid>
        <w:gridCol w:w="837"/>
        <w:gridCol w:w="1378"/>
        <w:gridCol w:w="5907"/>
        <w:gridCol w:w="837"/>
      </w:tblGrid>
      <w:tr>
        <w:tblPrEx>
          <w:tblCellMar>
            <w:top w:w="0" w:type="dxa"/>
            <w:left w:w="108" w:type="dxa"/>
            <w:bottom w:w="0" w:type="dxa"/>
            <w:right w:w="108" w:type="dxa"/>
          </w:tblCellMar>
        </w:tblPrEx>
        <w:trPr>
          <w:trHeight w:val="847" w:hRule="atLeast"/>
          <w:jc w:val="center"/>
        </w:trPr>
        <w:tc>
          <w:tcPr>
            <w:tcW w:w="8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sz w:val="24"/>
                <w:szCs w:val="24"/>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t>序号</w:t>
            </w:r>
          </w:p>
        </w:tc>
        <w:tc>
          <w:tcPr>
            <w:tcW w:w="13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sz w:val="24"/>
                <w:szCs w:val="24"/>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t>评审部分</w:t>
            </w:r>
          </w:p>
        </w:tc>
        <w:tc>
          <w:tcPr>
            <w:tcW w:w="59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sz w:val="24"/>
                <w:szCs w:val="24"/>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t>评审内容</w:t>
            </w:r>
          </w:p>
        </w:tc>
        <w:tc>
          <w:tcPr>
            <w:tcW w:w="8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sz w:val="24"/>
                <w:szCs w:val="24"/>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t>是否通过</w:t>
            </w:r>
          </w:p>
        </w:tc>
      </w:tr>
      <w:tr>
        <w:tblPrEx>
          <w:tblCellMar>
            <w:top w:w="0" w:type="dxa"/>
            <w:left w:w="108" w:type="dxa"/>
            <w:bottom w:w="0" w:type="dxa"/>
            <w:right w:w="108" w:type="dxa"/>
          </w:tblCellMar>
        </w:tblPrEx>
        <w:trPr>
          <w:trHeight w:val="3232"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sz w:val="24"/>
                <w:szCs w:val="24"/>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b/>
                <w:bCs/>
                <w:color w:val="000000" w:themeColor="text1"/>
                <w:sz w:val="24"/>
                <w:szCs w:val="24"/>
                <w14:textFill>
                  <w14:solidFill>
                    <w14:schemeClr w14:val="tx1"/>
                  </w14:solidFill>
                </w14:textFill>
              </w:rPr>
            </w:pPr>
            <w:r>
              <w:rPr>
                <w:rFonts w:hint="eastAsia" w:ascii="方正仿宋_GBK" w:hAnsi="方正仿宋_GBK" w:eastAsia="方正仿宋_GBK" w:cs="方正仿宋_GBK"/>
                <w:b/>
                <w:bCs/>
                <w:color w:val="000000" w:themeColor="text1"/>
                <w:kern w:val="0"/>
                <w:sz w:val="24"/>
                <w:szCs w:val="24"/>
                <w:lang w:bidi="ar"/>
                <w14:textFill>
                  <w14:solidFill>
                    <w14:schemeClr w14:val="tx1"/>
                  </w14:solidFill>
                </w14:textFill>
              </w:rPr>
              <w:t>资格条件</w:t>
            </w:r>
          </w:p>
        </w:tc>
        <w:tc>
          <w:tcPr>
            <w:tcW w:w="59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t>1、本次遴选要求设计单位须具备建设行业主管部门颁发的</w:t>
            </w:r>
            <w:r>
              <w:rPr>
                <w:rFonts w:hint="eastAsia" w:ascii="方正仿宋_GBK" w:hAnsi="方正仿宋_GBK" w:eastAsia="方正仿宋_GBK" w:cs="方正仿宋_GBK"/>
                <w:color w:val="000000" w:themeColor="text1"/>
                <w:kern w:val="0"/>
                <w:sz w:val="24"/>
                <w:szCs w:val="24"/>
                <w:lang w:val="en-US" w:eastAsia="zh-CN" w:bidi="ar"/>
                <w14:textFill>
                  <w14:solidFill>
                    <w14:schemeClr w14:val="tx1"/>
                  </w14:solidFill>
                </w14:textFill>
              </w:rPr>
              <w:t>市政</w:t>
            </w:r>
            <w: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t>行业工程设计</w:t>
            </w:r>
            <w:r>
              <w:rPr>
                <w:rFonts w:hint="eastAsia" w:ascii="方正仿宋_GBK" w:hAnsi="方正仿宋_GBK" w:eastAsia="方正仿宋_GBK" w:cs="方正仿宋_GBK"/>
                <w:color w:val="000000" w:themeColor="text1"/>
                <w:kern w:val="0"/>
                <w:sz w:val="24"/>
                <w:szCs w:val="24"/>
                <w:lang w:val="en-US" w:eastAsia="zh-CN" w:bidi="ar"/>
                <w14:textFill>
                  <w14:solidFill>
                    <w14:schemeClr w14:val="tx1"/>
                  </w14:solidFill>
                </w14:textFill>
              </w:rPr>
              <w:t>专业</w:t>
            </w:r>
            <w: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t>乙级（含乙级）及以上资质（提供有效的营业执照和资质证书）；</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val="en-US" w:eastAsia="zh-CN" w:bidi="ar"/>
                <w14:textFill>
                  <w14:solidFill>
                    <w14:schemeClr w14:val="tx1"/>
                  </w14:solidFill>
                </w14:textFill>
              </w:rPr>
              <w:t>2、三年（2022年至今）具有不少于3个与本项目类似的设计业绩（以中标通知书或合同为准）；</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val="en-US" w:eastAsia="zh-CN" w:bidi="ar"/>
                <w14:textFill>
                  <w14:solidFill>
                    <w14:schemeClr w14:val="tx1"/>
                  </w14:solidFill>
                </w14:textFill>
              </w:rPr>
              <w:t>3、提供近三年（2021-2023年度，若企业成立不足三年则提供成立以来的财务报表）的经会计师事务所或审计机构审计的财务会计报告；</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val="en-US" w:eastAsia="zh-CN" w:bidi="ar"/>
                <w14:textFill>
                  <w14:solidFill>
                    <w14:schemeClr w14:val="tx1"/>
                  </w14:solidFill>
                </w14:textFill>
              </w:rPr>
              <w:t>4、须按照藏建市管〔2023〕62号完成企业资质信息报送。</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val="en-US" w:eastAsia="zh-CN" w:bidi="ar"/>
                <w14:textFill>
                  <w14:solidFill>
                    <w14:schemeClr w14:val="tx1"/>
                  </w14:solidFill>
                </w14:textFill>
              </w:rPr>
              <w:t>5、近三年（2022年度、2023年度、2024年度）企业未处于财产被接管、冻结、破产状态，并没有因违法违规或不诚信行为而被政府或业主宣布取消投标资格，以住房城乡建设部、信用中国网站（严重失信主体名单、经营异常名录、重大税收违法失信主体）查询截图为准；</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color w:val="000000" w:themeColor="text1"/>
                <w:kern w:val="0"/>
                <w:sz w:val="24"/>
                <w:szCs w:val="24"/>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lang w:val="en-US" w:eastAsia="zh-CN" w:bidi="ar"/>
                <w14:textFill>
                  <w14:solidFill>
                    <w14:schemeClr w14:val="tx1"/>
                  </w14:solidFill>
                </w14:textFill>
              </w:rPr>
              <w:t>6、本项目不接受联合体。</w:t>
            </w:r>
          </w:p>
        </w:tc>
        <w:tc>
          <w:tcPr>
            <w:tcW w:w="8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sz w:val="24"/>
                <w:szCs w:val="24"/>
                <w14:textFill>
                  <w14:solidFill>
                    <w14:schemeClr w14:val="tx1"/>
                  </w14:solidFill>
                </w14:textFill>
              </w:rPr>
            </w:pPr>
            <w:r>
              <w:rPr>
                <w:rFonts w:hint="eastAsia" w:ascii="方正仿宋_GBK" w:hAnsi="方正仿宋_GBK" w:eastAsia="方正仿宋_GBK" w:cs="方正仿宋_GBK"/>
                <w:color w:val="000000" w:themeColor="text1"/>
                <w:sz w:val="24"/>
                <w:szCs w:val="24"/>
                <w14:textFill>
                  <w14:solidFill>
                    <w14:schemeClr w14:val="tx1"/>
                  </w14:solidFill>
                </w14:textFill>
              </w:rPr>
              <w:t>/</w:t>
            </w:r>
          </w:p>
        </w:tc>
      </w:tr>
      <w:tr>
        <w:tblPrEx>
          <w:tblCellMar>
            <w:top w:w="0" w:type="dxa"/>
            <w:left w:w="108" w:type="dxa"/>
            <w:bottom w:w="0" w:type="dxa"/>
            <w:right w:w="108" w:type="dxa"/>
          </w:tblCellMar>
        </w:tblPrEx>
        <w:trPr>
          <w:trHeight w:val="1295" w:hRule="atLeast"/>
          <w:jc w:val="center"/>
        </w:trPr>
        <w:tc>
          <w:tcPr>
            <w:tcW w:w="895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t>通过资格条件评审的才能进入详细评审，详细评审总得分100分，分值如下：</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t>商务部分：</w:t>
            </w:r>
            <w:r>
              <w:rPr>
                <w:rFonts w:hint="eastAsia" w:ascii="方正仿宋_GBK" w:hAnsi="方正仿宋_GBK" w:eastAsia="方正仿宋_GBK" w:cs="方正仿宋_GBK"/>
                <w:b/>
                <w:bCs/>
                <w:color w:val="000000" w:themeColor="text1"/>
                <w:kern w:val="0"/>
                <w:sz w:val="24"/>
                <w:szCs w:val="24"/>
                <w:highlight w:val="none"/>
                <w:lang w:val="en-US" w:eastAsia="zh-CN" w:bidi="ar"/>
                <w14:textFill>
                  <w14:solidFill>
                    <w14:schemeClr w14:val="tx1"/>
                  </w14:solidFill>
                </w14:textFill>
              </w:rPr>
              <w:t>24</w:t>
            </w:r>
            <w: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t>分</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t>技术部分（</w:t>
            </w:r>
            <w:r>
              <w:rPr>
                <w:rFonts w:hint="eastAsia" w:ascii="方正仿宋_GBK" w:hAnsi="方正仿宋_GBK" w:eastAsia="方正仿宋_GBK" w:cs="方正仿宋_GBK"/>
                <w:b/>
                <w:bCs/>
                <w:color w:val="000000" w:themeColor="text1"/>
                <w:kern w:val="0"/>
                <w:sz w:val="24"/>
                <w:szCs w:val="24"/>
                <w:highlight w:val="none"/>
                <w:lang w:val="en-US" w:eastAsia="zh-CN" w:bidi="ar"/>
                <w14:textFill>
                  <w14:solidFill>
                    <w14:schemeClr w14:val="tx1"/>
                  </w14:solidFill>
                </w14:textFill>
              </w:rPr>
              <w:t>设计</w:t>
            </w:r>
            <w: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t>大纲）：</w:t>
            </w:r>
            <w:r>
              <w:rPr>
                <w:rFonts w:hint="eastAsia" w:ascii="方正仿宋_GBK" w:hAnsi="方正仿宋_GBK" w:eastAsia="方正仿宋_GBK" w:cs="方正仿宋_GBK"/>
                <w:b/>
                <w:bCs/>
                <w:color w:val="000000" w:themeColor="text1"/>
                <w:kern w:val="0"/>
                <w:sz w:val="24"/>
                <w:szCs w:val="24"/>
                <w:highlight w:val="none"/>
                <w:lang w:val="en-US" w:eastAsia="zh-CN" w:bidi="ar"/>
                <w14:textFill>
                  <w14:solidFill>
                    <w14:schemeClr w14:val="tx1"/>
                  </w14:solidFill>
                </w14:textFill>
              </w:rPr>
              <w:t>66</w:t>
            </w:r>
            <w: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t>分</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b/>
                <w:bCs/>
                <w:color w:val="000000" w:themeColor="text1"/>
                <w:kern w:val="0"/>
                <w:sz w:val="24"/>
                <w:szCs w:val="24"/>
                <w:highlight w:val="none"/>
                <w:lang w:val="en-US" w:eastAsia="zh-CN" w:bidi="ar"/>
                <w14:textFill>
                  <w14:solidFill>
                    <w14:schemeClr w14:val="tx1"/>
                  </w14:solidFill>
                </w14:textFill>
              </w:rPr>
              <w:t>设计</w:t>
            </w:r>
            <w: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t>投标报价：1</w:t>
            </w:r>
            <w:r>
              <w:rPr>
                <w:rFonts w:hint="eastAsia" w:ascii="方正仿宋_GBK" w:hAnsi="方正仿宋_GBK" w:eastAsia="方正仿宋_GBK" w:cs="方正仿宋_GBK"/>
                <w:b/>
                <w:bCs/>
                <w:color w:val="000000" w:themeColor="text1"/>
                <w:kern w:val="0"/>
                <w:sz w:val="24"/>
                <w:szCs w:val="24"/>
                <w:highlight w:val="none"/>
                <w:lang w:val="en-US" w:eastAsia="zh-CN" w:bidi="ar"/>
                <w14:textFill>
                  <w14:solidFill>
                    <w14:schemeClr w14:val="tx1"/>
                  </w14:solidFill>
                </w14:textFill>
              </w:rPr>
              <w:t>0</w:t>
            </w:r>
            <w:r>
              <w:rPr>
                <w:rFonts w:hint="eastAsia" w:ascii="方正仿宋_GBK" w:hAnsi="方正仿宋_GBK" w:eastAsia="方正仿宋_GBK" w:cs="方正仿宋_GBK"/>
                <w:b/>
                <w:bCs/>
                <w:color w:val="000000" w:themeColor="text1"/>
                <w:kern w:val="0"/>
                <w:sz w:val="24"/>
                <w:szCs w:val="24"/>
                <w:highlight w:val="none"/>
                <w:lang w:bidi="ar"/>
                <w14:textFill>
                  <w14:solidFill>
                    <w14:schemeClr w14:val="tx1"/>
                  </w14:solidFill>
                </w14:textFill>
              </w:rPr>
              <w:t>分</w:t>
            </w:r>
          </w:p>
        </w:tc>
      </w:tr>
    </w:tbl>
    <w:tbl>
      <w:tblPr>
        <w:tblStyle w:val="7"/>
        <w:tblW w:w="89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1276"/>
        <w:gridCol w:w="1517"/>
        <w:gridCol w:w="3696"/>
        <w:gridCol w:w="1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22" w:type="dxa"/>
            <w:gridSpan w:val="2"/>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bookmarkStart w:id="0" w:name="_Hlk148612614"/>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条款号</w:t>
            </w:r>
          </w:p>
        </w:tc>
        <w:tc>
          <w:tcPr>
            <w:tcW w:w="1517"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评审因素</w:t>
            </w:r>
          </w:p>
        </w:tc>
        <w:tc>
          <w:tcPr>
            <w:tcW w:w="36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评审标准</w:t>
            </w:r>
          </w:p>
        </w:tc>
        <w:tc>
          <w:tcPr>
            <w:tcW w:w="1596" w:type="dxa"/>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标准分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7" w:hRule="atLeast"/>
          <w:jc w:val="center"/>
        </w:trPr>
        <w:tc>
          <w:tcPr>
            <w:tcW w:w="846" w:type="dxa"/>
            <w:vMerge w:val="restart"/>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2.1</w:t>
            </w:r>
          </w:p>
        </w:tc>
        <w:tc>
          <w:tcPr>
            <w:tcW w:w="1276" w:type="dxa"/>
            <w:vMerge w:val="restart"/>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商务部分评审（</w:t>
            </w: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24</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分）</w:t>
            </w:r>
          </w:p>
        </w:tc>
        <w:tc>
          <w:tcPr>
            <w:tcW w:w="1517"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人员配置</w:t>
            </w:r>
          </w:p>
        </w:tc>
        <w:tc>
          <w:tcPr>
            <w:tcW w:w="3696" w:type="dxa"/>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1、项目负责人：具有</w:t>
            </w: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市政</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类高级职称得3分，中级职称得2分。</w:t>
            </w:r>
          </w:p>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2、技术负责人：具有</w:t>
            </w: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市政</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类中级职称得3分。</w:t>
            </w:r>
          </w:p>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3、造价负责人：具有全国注册二级造价工程师证书得4分。</w:t>
            </w:r>
          </w:p>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4、除项目负责人以外，团队配置每增加一名高级职称人员得2分，每增加一名中级职称人员得1分，本项满分3分。</w:t>
            </w:r>
          </w:p>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注：以上要求的执业资格、职称证书复印件，以上证明材料复印件加盖公章。</w:t>
            </w:r>
          </w:p>
        </w:tc>
        <w:tc>
          <w:tcPr>
            <w:tcW w:w="15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满分13分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0" w:hRule="atLeast"/>
          <w:jc w:val="center"/>
        </w:trPr>
        <w:tc>
          <w:tcPr>
            <w:tcW w:w="84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276" w:type="dxa"/>
            <w:vMerge w:val="continue"/>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517"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履约能力</w:t>
            </w:r>
          </w:p>
        </w:tc>
        <w:tc>
          <w:tcPr>
            <w:tcW w:w="36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供应商提供（2020年1月起至今）的类似项目业绩，具有类似项目整体设计业绩，每提供1项得2分，最高得4分；具有类似项目可行性研究报告编制业绩，每提供1项得2分，最高得4分；不提供者不得分。注：以加盖公章的业绩合同复印件或扫描件为准，时间以业绩合同签订日期为准。</w:t>
            </w:r>
          </w:p>
        </w:tc>
        <w:tc>
          <w:tcPr>
            <w:tcW w:w="15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满分8分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84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276" w:type="dxa"/>
            <w:vMerge w:val="continue"/>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517"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服务响应承诺</w:t>
            </w:r>
          </w:p>
        </w:tc>
        <w:tc>
          <w:tcPr>
            <w:tcW w:w="36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供应商提供设计服务时间、可行性研究报告编制承诺，可行性研究报告编制、设计全过程服务完善，响应时间积极、满足项目需求，有承诺响应时间的得3分；不提供不得分。</w:t>
            </w:r>
          </w:p>
        </w:tc>
        <w:tc>
          <w:tcPr>
            <w:tcW w:w="15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满分3分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846" w:type="dxa"/>
            <w:vMerge w:val="restart"/>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2.2</w:t>
            </w:r>
          </w:p>
        </w:tc>
        <w:tc>
          <w:tcPr>
            <w:tcW w:w="1276" w:type="dxa"/>
            <w:vMerge w:val="restart"/>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技术部分</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w:t>
            </w: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66</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分）</w:t>
            </w: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 xml:space="preserve">     </w:t>
            </w:r>
          </w:p>
        </w:tc>
        <w:tc>
          <w:tcPr>
            <w:tcW w:w="1517"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项目总体实施方案</w:t>
            </w:r>
          </w:p>
        </w:tc>
        <w:tc>
          <w:tcPr>
            <w:tcW w:w="36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根据实施方案进行评审，包括但不限于：①工作流程；②技术方案与路线；③编制服务的总体思路和部署；④工作任务与目标；⑤质量控制和效率控制；⑥保密措施；以上全部内容详细合理、符合项目实际需求的得24分，每缺少一项或不满足要求的或方案脱离实际的扣4分，每有一项内容存在缺陷或不足的扣3分，直至扣完为止。</w:t>
            </w:r>
          </w:p>
        </w:tc>
        <w:tc>
          <w:tcPr>
            <w:tcW w:w="15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满分24分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84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27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517"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设计方案</w:t>
            </w:r>
          </w:p>
        </w:tc>
        <w:tc>
          <w:tcPr>
            <w:tcW w:w="36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评审</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小组根据供应商提供的符合现行国家技术规范标准的设计方案进行综合评审：包括：①项目理解与分析；②项目设计思路的准确性；③设计初步方案；④重点难点分析；⑤类似工程设计案例研究等；以上5项内容为专门针对本项目编制，符合本项目实际情况，能够保障项目顺利实施的得15分，缺少一项内容扣3分，每有一项内容存在缺陷扣2分，扣完为止。</w:t>
            </w:r>
          </w:p>
        </w:tc>
        <w:tc>
          <w:tcPr>
            <w:tcW w:w="15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满分15分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84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27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517"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进度计划和保证措施</w:t>
            </w:r>
          </w:p>
        </w:tc>
        <w:tc>
          <w:tcPr>
            <w:tcW w:w="36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评审</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小组根据供应商针对本项目提供的进度计划和保证措施进行综合评审；包括但不限于：①进度安排计划、②各环节进度保障措施、③与采购人的沟通以及协调等；以上3项内容为专门针对本项目编制，符合本项目实际情况，能够保障项目顺利实施的得9分，缺少一项内容扣3分，每有一项内容存在缺陷扣2分，扣完为止。</w:t>
            </w:r>
          </w:p>
        </w:tc>
        <w:tc>
          <w:tcPr>
            <w:tcW w:w="15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满分9分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4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27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517"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组织机构设置</w:t>
            </w:r>
          </w:p>
        </w:tc>
        <w:tc>
          <w:tcPr>
            <w:tcW w:w="36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评审</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小组根据供应商针对本项目提供的组织机构设置进行综合评审；包括但不限于：①组织机构；②人员配备；③工作流程；④岗位职责与分工等；以上4项内容为专门针对本项目编制，符合本项目实际情况，能够保障项目顺利实施的得12分，缺少一项内容扣3分，每有一项内容存在缺陷扣2分，扣完为止。</w:t>
            </w:r>
          </w:p>
        </w:tc>
        <w:tc>
          <w:tcPr>
            <w:tcW w:w="15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满分12分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27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517"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后续服务方案</w:t>
            </w:r>
          </w:p>
        </w:tc>
        <w:tc>
          <w:tcPr>
            <w:tcW w:w="36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评审</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小组根据供应商针对本项目提供的后续服务方案进行综合评审；包括但不限于：①后续服务的内容、②后续服务人员组成；③后续服务保证措施等；以上3项内容为专门针对本项目编制，符合本项目实际情况，能够保障项目顺利实施的得6分，缺少一项内容扣2分，每有一项内容存在缺陷扣1分，扣完为止。</w:t>
            </w:r>
          </w:p>
        </w:tc>
        <w:tc>
          <w:tcPr>
            <w:tcW w:w="159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满分6分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84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1276" w:type="dxa"/>
            <w:vMerge w:val="continue"/>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p>
        </w:tc>
        <w:tc>
          <w:tcPr>
            <w:tcW w:w="6809" w:type="dxa"/>
            <w:gridSpan w:val="3"/>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注：</w:t>
            </w: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技术部分</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缺陷是指：内容与项目无关、逻辑错误、科学原理错误、表述错误、不符合本项目涉及的相关规范或标准要求的任意一种情形。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2.4</w:t>
            </w:r>
          </w:p>
        </w:tc>
        <w:tc>
          <w:tcPr>
            <w:tcW w:w="2793" w:type="dxa"/>
            <w:gridSpan w:val="2"/>
            <w:vAlign w:val="center"/>
          </w:tcPr>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报价部分评分（1</w:t>
            </w: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0</w:t>
            </w:r>
            <w:r>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t>分）</w:t>
            </w:r>
          </w:p>
        </w:tc>
        <w:tc>
          <w:tcPr>
            <w:tcW w:w="5292" w:type="dxa"/>
            <w:gridSpan w:val="2"/>
          </w:tcPr>
          <w:p>
            <w:pPr>
              <w:keepNext w:val="0"/>
              <w:keepLines w:val="0"/>
              <w:pageBreakBefore w:val="0"/>
              <w:widowControl/>
              <w:numPr>
                <w:ilvl w:val="0"/>
                <w:numId w:val="1"/>
              </w:numPr>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t>采用内插法（先计算评标基准价，再计算偏差率，再上浮下浮扣分）；</w:t>
            </w:r>
          </w:p>
          <w:p>
            <w:pPr>
              <w:pStyle w:val="12"/>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highlight w:val="none"/>
                <w14:textFill>
                  <w14:solidFill>
                    <w14:schemeClr w14:val="tx1"/>
                  </w14:solidFill>
                </w14:textFill>
              </w:rPr>
              <w:t>窗体顶端</w:t>
            </w:r>
          </w:p>
          <w:p>
            <w:pPr>
              <w:keepNext w:val="0"/>
              <w:keepLines w:val="0"/>
              <w:pageBreakBefore w:val="0"/>
              <w:widowControl/>
              <w:numPr>
                <w:ilvl w:val="0"/>
                <w:numId w:val="1"/>
              </w:numPr>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t>评标价 = 投标函中的投标报价 ；</w:t>
            </w:r>
          </w:p>
          <w:p>
            <w:pPr>
              <w:keepNext w:val="0"/>
              <w:keepLines w:val="0"/>
              <w:pageBreakBefore w:val="0"/>
              <w:widowControl/>
              <w:numPr>
                <w:ilvl w:val="0"/>
                <w:numId w:val="1"/>
              </w:numPr>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t>基准价=所有有效评标价的平均值；</w:t>
            </w:r>
          </w:p>
          <w:p>
            <w:pPr>
              <w:keepNext w:val="0"/>
              <w:keepLines w:val="0"/>
              <w:pageBreakBefore w:val="0"/>
              <w:widowControl/>
              <w:numPr>
                <w:ilvl w:val="0"/>
                <w:numId w:val="1"/>
              </w:numPr>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t>平均值：当投标单位家数＜7家时直接计算平均值；当投标单位家数≥7家时去掉一家报价最高值，去掉一家报价最低值，然后计算平均值；</w:t>
            </w:r>
          </w:p>
          <w:p>
            <w:pPr>
              <w:pStyle w:val="12"/>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highlight w:val="none"/>
                <w14:textFill>
                  <w14:solidFill>
                    <w14:schemeClr w14:val="tx1"/>
                  </w14:solidFill>
                </w14:textFill>
              </w:rPr>
              <w:t>窗体顶端</w:t>
            </w:r>
          </w:p>
          <w:p>
            <w:pPr>
              <w:keepNext w:val="0"/>
              <w:keepLines w:val="0"/>
              <w:pageBreakBefore w:val="0"/>
              <w:widowControl/>
              <w:numPr>
                <w:ilvl w:val="0"/>
                <w:numId w:val="1"/>
              </w:numPr>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t xml:space="preserve">偏差率=(投标人的评标价-评标基准价)/评标基准价*100% </w:t>
            </w:r>
          </w:p>
          <w:p>
            <w:pPr>
              <w:pStyle w:val="13"/>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highlight w:val="none"/>
                <w14:textFill>
                  <w14:solidFill>
                    <w14:schemeClr w14:val="tx1"/>
                  </w14:solidFill>
                </w14:textFill>
              </w:rPr>
              <w:t>窗体底端</w:t>
            </w:r>
          </w:p>
          <w:p>
            <w:pPr>
              <w:keepNext w:val="0"/>
              <w:keepLines w:val="0"/>
              <w:pageBreakBefore w:val="0"/>
              <w:widowControl/>
              <w:numPr>
                <w:ilvl w:val="0"/>
                <w:numId w:val="1"/>
              </w:numPr>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t>评标价得分计算公式：</w:t>
            </w:r>
          </w:p>
          <w:p>
            <w:pPr>
              <w:keepNext w:val="0"/>
              <w:keepLines w:val="0"/>
              <w:pageBreakBefore w:val="0"/>
              <w:widowControl/>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t>如果投标人的评标价≥评标基准价，则评标价得分=F-偏差率*E1；E1=0.01</w:t>
            </w:r>
          </w:p>
          <w:p>
            <w:pPr>
              <w:keepNext w:val="0"/>
              <w:keepLines w:val="0"/>
              <w:pageBreakBefore w:val="0"/>
              <w:widowControl/>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t>如果投标人的评标价＜评标基准价，则评标价得分=F+偏差率*E2；E2=0.01</w:t>
            </w:r>
          </w:p>
          <w:p>
            <w:pPr>
              <w:keepNext w:val="0"/>
              <w:keepLines w:val="0"/>
              <w:pageBreakBefore w:val="0"/>
              <w:kinsoku/>
              <w:wordWrap/>
              <w:overflowPunct/>
              <w:topLinePunct w:val="0"/>
              <w:autoSpaceDE/>
              <w:autoSpaceDN/>
              <w:bidi w:val="0"/>
              <w:adjustRightInd/>
              <w:snapToGrid/>
              <w:spacing w:line="576" w:lineRule="exact"/>
              <w:jc w:val="both"/>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bidi="ar"/>
                <w14:textFill>
                  <w14:solidFill>
                    <w14:schemeClr w14:val="tx1"/>
                  </w14:solidFill>
                </w14:textFill>
              </w:rPr>
              <w:t>其中F是评标价所占的权重分值，E1是评标价每高于评标基准价一个百分点的扣分值，E2是评标价每低于评标基准价一个百分点的扣分值。</w:t>
            </w:r>
          </w:p>
        </w:tc>
      </w:tr>
      <w:bookmarkEnd w:id="0"/>
    </w:tbl>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仿宋_GB2312" w:cs="Times New Roman"/>
          <w:color w:val="000000" w:themeColor="text1"/>
          <w:highlight w:val="none"/>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等线">
    <w:panose1 w:val="02010600030101010101"/>
    <w:charset w:val="86"/>
    <w:family w:val="auto"/>
    <w:pitch w:val="default"/>
    <w:sig w:usb0="A00002BF" w:usb1="38CF7CFA" w:usb2="00000016" w:usb3="00000000" w:csb0="0004000F" w:csb1="00000000"/>
  </w:font>
  <w:font w:name="方正小标宋_GBK">
    <w:panose1 w:val="02000000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仿宋_GBK">
    <w:panose1 w:val="02000000000000000000"/>
    <w:charset w:val="86"/>
    <w:family w:val="auto"/>
    <w:pitch w:val="default"/>
    <w:sig w:usb0="00000001" w:usb1="080E0000" w:usb2="00000000" w:usb3="00000000" w:csb0="00040000" w:csb1="00000000"/>
    <w:embedRegular r:id="rId1" w:fontKey="{BBEAF65D-F32C-404D-A9C5-40719C39BF64}"/>
  </w:font>
  <w:font w:name="仿宋_GB2312">
    <w:panose1 w:val="02010609030101010101"/>
    <w:charset w:val="86"/>
    <w:family w:val="auto"/>
    <w:pitch w:val="default"/>
    <w:sig w:usb0="00000001" w:usb1="080E0000" w:usb2="00000000" w:usb3="00000000" w:csb0="00040000" w:csb1="00000000"/>
    <w:embedRegular r:id="rId2" w:fontKey="{76078835-1901-4AFB-9484-A9CA20CF5F74}"/>
  </w:font>
  <w:font w:name="Arial Rounded MT Bold">
    <w:panose1 w:val="020F0704030504030204"/>
    <w:charset w:val="00"/>
    <w:family w:val="auto"/>
    <w:pitch w:val="default"/>
    <w:sig w:usb0="00000003" w:usb1="00000000" w:usb2="00000000" w:usb3="00000000" w:csb0="2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1"/>
    <w:multiLevelType w:val="singleLevel"/>
    <w:tmpl w:val="00000011"/>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kxYTk2MjM4MzE2YjRlMGYzZmFjZTI0MDQ1OWUzN2YifQ=="/>
  </w:docVars>
  <w:rsids>
    <w:rsidRoot w:val="00120B25"/>
    <w:rsid w:val="001111AF"/>
    <w:rsid w:val="00120B25"/>
    <w:rsid w:val="00155447"/>
    <w:rsid w:val="001E3E49"/>
    <w:rsid w:val="002A7B6C"/>
    <w:rsid w:val="00330461"/>
    <w:rsid w:val="00337DBD"/>
    <w:rsid w:val="0038578A"/>
    <w:rsid w:val="003F632E"/>
    <w:rsid w:val="00413679"/>
    <w:rsid w:val="00413A10"/>
    <w:rsid w:val="0041417C"/>
    <w:rsid w:val="00482632"/>
    <w:rsid w:val="00540B99"/>
    <w:rsid w:val="006D2013"/>
    <w:rsid w:val="008531B1"/>
    <w:rsid w:val="00881E65"/>
    <w:rsid w:val="008C47E7"/>
    <w:rsid w:val="00954305"/>
    <w:rsid w:val="00987989"/>
    <w:rsid w:val="00AD60B1"/>
    <w:rsid w:val="00AF0572"/>
    <w:rsid w:val="00B91A19"/>
    <w:rsid w:val="00D221EA"/>
    <w:rsid w:val="00D9473C"/>
    <w:rsid w:val="00DB7914"/>
    <w:rsid w:val="00E61011"/>
    <w:rsid w:val="00E7383B"/>
    <w:rsid w:val="00E7767F"/>
    <w:rsid w:val="00E80CAD"/>
    <w:rsid w:val="00EB6E1B"/>
    <w:rsid w:val="00FA4C58"/>
    <w:rsid w:val="0DFEE9CA"/>
    <w:rsid w:val="1057106E"/>
    <w:rsid w:val="1DFA893E"/>
    <w:rsid w:val="2E7F6821"/>
    <w:rsid w:val="332848FF"/>
    <w:rsid w:val="33B66286"/>
    <w:rsid w:val="33FBCCF0"/>
    <w:rsid w:val="36673C34"/>
    <w:rsid w:val="39FC78CA"/>
    <w:rsid w:val="3DDB7A17"/>
    <w:rsid w:val="3F7246F8"/>
    <w:rsid w:val="3FDBFF0D"/>
    <w:rsid w:val="4D53976C"/>
    <w:rsid w:val="4FFED007"/>
    <w:rsid w:val="53E0F545"/>
    <w:rsid w:val="56DFB920"/>
    <w:rsid w:val="5D3FB737"/>
    <w:rsid w:val="5DFF2768"/>
    <w:rsid w:val="5FD6C8F8"/>
    <w:rsid w:val="62C05BCC"/>
    <w:rsid w:val="688D38DD"/>
    <w:rsid w:val="6EFF4CCA"/>
    <w:rsid w:val="6F277902"/>
    <w:rsid w:val="6F8C598F"/>
    <w:rsid w:val="6FBF7FBA"/>
    <w:rsid w:val="6FD10050"/>
    <w:rsid w:val="6FED1F64"/>
    <w:rsid w:val="75D315DC"/>
    <w:rsid w:val="777F6745"/>
    <w:rsid w:val="77F731E6"/>
    <w:rsid w:val="77FDDF7B"/>
    <w:rsid w:val="79775D34"/>
    <w:rsid w:val="79EF980E"/>
    <w:rsid w:val="7AFB258E"/>
    <w:rsid w:val="7BDF58D5"/>
    <w:rsid w:val="7BFDFD4B"/>
    <w:rsid w:val="7CFFB089"/>
    <w:rsid w:val="7CFFF885"/>
    <w:rsid w:val="7D5FBA87"/>
    <w:rsid w:val="7DEF4EA0"/>
    <w:rsid w:val="7E89B650"/>
    <w:rsid w:val="7E8F908D"/>
    <w:rsid w:val="7EFF14E4"/>
    <w:rsid w:val="7FBFDD3D"/>
    <w:rsid w:val="7FCEC2E3"/>
    <w:rsid w:val="7FEB2C36"/>
    <w:rsid w:val="7FF4475C"/>
    <w:rsid w:val="7FF9114F"/>
    <w:rsid w:val="7FFD9EA7"/>
    <w:rsid w:val="9BDF9D82"/>
    <w:rsid w:val="AF3D9AC8"/>
    <w:rsid w:val="BE2FD6C4"/>
    <w:rsid w:val="CFAFE0CF"/>
    <w:rsid w:val="DAFB0DC4"/>
    <w:rsid w:val="DFB718D9"/>
    <w:rsid w:val="DFFFDEAF"/>
    <w:rsid w:val="E7B6E3EF"/>
    <w:rsid w:val="E9BAFCB7"/>
    <w:rsid w:val="EAFF307A"/>
    <w:rsid w:val="EBF915A1"/>
    <w:rsid w:val="EF4B6B42"/>
    <w:rsid w:val="EF6371BA"/>
    <w:rsid w:val="EFF362C9"/>
    <w:rsid w:val="F1F8536B"/>
    <w:rsid w:val="F3FE67F2"/>
    <w:rsid w:val="F6D725D5"/>
    <w:rsid w:val="F6FE94D2"/>
    <w:rsid w:val="F7DBC545"/>
    <w:rsid w:val="F93C21A1"/>
    <w:rsid w:val="FA955FDB"/>
    <w:rsid w:val="FB7B89C6"/>
    <w:rsid w:val="FBD7F198"/>
    <w:rsid w:val="FC9F035D"/>
    <w:rsid w:val="FEFF147C"/>
    <w:rsid w:val="FF3F1BAE"/>
    <w:rsid w:val="FF6D29CF"/>
    <w:rsid w:val="FFBEC3DE"/>
    <w:rsid w:val="FFDFF934"/>
    <w:rsid w:val="FFFDE146"/>
    <w:rsid w:val="FFFFC6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4"/>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tabs>
        <w:tab w:val="center" w:pos="4153"/>
        <w:tab w:val="right" w:pos="8306"/>
      </w:tabs>
      <w:snapToGrid w:val="0"/>
      <w:jc w:val="center"/>
    </w:pPr>
    <w:rPr>
      <w:sz w:val="18"/>
      <w:szCs w:val="18"/>
    </w:rPr>
  </w:style>
  <w:style w:type="paragraph" w:styleId="5">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4"/>
    <w:qFormat/>
    <w:uiPriority w:val="99"/>
    <w:rPr>
      <w:sz w:val="18"/>
      <w:szCs w:val="18"/>
    </w:rPr>
  </w:style>
  <w:style w:type="character" w:customStyle="1" w:styleId="10">
    <w:name w:val="页脚 字符"/>
    <w:basedOn w:val="8"/>
    <w:link w:val="3"/>
    <w:qFormat/>
    <w:uiPriority w:val="99"/>
    <w:rPr>
      <w:sz w:val="18"/>
      <w:szCs w:val="18"/>
    </w:rPr>
  </w:style>
  <w:style w:type="character" w:customStyle="1" w:styleId="11">
    <w:name w:val="fontstyle01"/>
    <w:basedOn w:val="8"/>
    <w:qFormat/>
    <w:uiPriority w:val="0"/>
    <w:rPr>
      <w:rFonts w:hint="eastAsia" w:ascii="宋体" w:hAnsi="宋体" w:eastAsia="宋体"/>
      <w:color w:val="000000"/>
      <w:sz w:val="24"/>
      <w:szCs w:val="24"/>
    </w:rPr>
  </w:style>
  <w:style w:type="paragraph" w:customStyle="1" w:styleId="12">
    <w:name w:val="_Style 2"/>
    <w:basedOn w:val="1"/>
    <w:next w:val="1"/>
    <w:qFormat/>
    <w:uiPriority w:val="0"/>
    <w:pPr>
      <w:pBdr>
        <w:bottom w:val="single" w:color="auto" w:sz="6" w:space="1"/>
      </w:pBdr>
      <w:jc w:val="center"/>
    </w:pPr>
    <w:rPr>
      <w:rFonts w:ascii="Arial" w:hAnsi="Times New Roman" w:eastAsia="宋体" w:cs="Times New Roman"/>
      <w:vanish/>
      <w:sz w:val="16"/>
      <w:szCs w:val="24"/>
    </w:rPr>
  </w:style>
  <w:style w:type="paragraph" w:customStyle="1" w:styleId="13">
    <w:name w:val="_Style 3"/>
    <w:basedOn w:val="1"/>
    <w:next w:val="1"/>
    <w:qFormat/>
    <w:uiPriority w:val="0"/>
    <w:pPr>
      <w:pBdr>
        <w:top w:val="single" w:color="auto" w:sz="6" w:space="1"/>
      </w:pBdr>
      <w:jc w:val="center"/>
    </w:pPr>
    <w:rPr>
      <w:rFonts w:ascii="Arial" w:hAnsi="Times New Roman" w:eastAsia="宋体" w:cs="Times New Roman"/>
      <w:vanish/>
      <w:sz w:val="16"/>
      <w:szCs w:val="24"/>
    </w:rPr>
  </w:style>
  <w:style w:type="character" w:customStyle="1" w:styleId="14">
    <w:name w:val="标题 1 字符"/>
    <w:basedOn w:val="8"/>
    <w:link w:val="2"/>
    <w:qFormat/>
    <w:uiPriority w:val="9"/>
    <w:rPr>
      <w:rFonts w:ascii="宋体" w:hAnsi="宋体" w:eastAsia="宋体" w:cs="宋体"/>
      <w:b/>
      <w:bCs/>
      <w:kern w:val="36"/>
      <w:sz w:val="48"/>
      <w:szCs w:val="48"/>
    </w:rPr>
  </w:style>
  <w:style w:type="paragraph" w:styleId="1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9</Pages>
  <Words>2846</Words>
  <Characters>2972</Characters>
  <Lines>22</Lines>
  <Paragraphs>6</Paragraphs>
  <TotalTime>56</TotalTime>
  <ScaleCrop>false</ScaleCrop>
  <LinksUpToDate>false</LinksUpToDate>
  <CharactersWithSpaces>2981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2024-06-28T09:47:00Z</dcterms:created>
  <dc:creator>kang sun</dc:creator>
  <cp:lastModifiedBy>Administrator</cp:lastModifiedBy>
  <dcterms:modified xsi:type="dcterms:W3CDTF">2025-01-27T11:44:04Z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1DEDE5DEA9A1405FBC75D8C667C5CA24_13</vt:lpwstr>
  </property>
</Properties>
</file>