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4F" w:rsidRDefault="00723653">
      <w:pPr>
        <w:widowControl/>
        <w:rPr>
          <w:rFonts w:ascii="方正仿宋_GBK" w:eastAsia="方正仿宋_GBK" w:hAnsi="仿宋_GB2312" w:cs="仿宋_GB2312" w:hint="eastAsia"/>
          <w:sz w:val="28"/>
          <w:szCs w:val="28"/>
        </w:rPr>
      </w:pPr>
      <w:r>
        <w:rPr>
          <w:rFonts w:ascii="方正仿宋_GBK" w:eastAsia="方正仿宋_GBK" w:hAnsi="仿宋_GB2312" w:cs="仿宋_GB2312" w:hint="eastAsia"/>
          <w:sz w:val="28"/>
          <w:szCs w:val="28"/>
        </w:rPr>
        <w:t xml:space="preserve">   </w:t>
      </w:r>
      <w:r w:rsidR="003117F0">
        <w:rPr>
          <w:rFonts w:ascii="方正仿宋_GBK" w:eastAsia="方正仿宋_GBK" w:hAnsi="仿宋_GB2312" w:cs="仿宋_GB2312" w:hint="eastAsia"/>
          <w:sz w:val="28"/>
          <w:szCs w:val="28"/>
        </w:rPr>
        <w:t>附件：遴选办法具体内容</w:t>
      </w:r>
    </w:p>
    <w:tbl>
      <w:tblPr>
        <w:tblW w:w="8959" w:type="dxa"/>
        <w:jc w:val="center"/>
        <w:tblLayout w:type="fixed"/>
        <w:tblLook w:val="04A0"/>
      </w:tblPr>
      <w:tblGrid>
        <w:gridCol w:w="1194"/>
        <w:gridCol w:w="6555"/>
        <w:gridCol w:w="1210"/>
      </w:tblGrid>
      <w:tr w:rsidR="0037404F">
        <w:trPr>
          <w:trHeight w:val="847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117F0">
            <w:pPr>
              <w:widowControl/>
              <w:textAlignment w:val="center"/>
              <w:rPr>
                <w:rFonts w:ascii="方正仿宋_GBK" w:eastAsia="方正仿宋_GBK" w:hAnsi="宋体" w:cs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评审部分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117F0">
            <w:pPr>
              <w:widowControl/>
              <w:jc w:val="center"/>
              <w:textAlignment w:val="center"/>
              <w:rPr>
                <w:rFonts w:ascii="方正仿宋_GBK" w:eastAsia="方正仿宋_GBK" w:hAnsi="宋体" w:cs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117F0">
            <w:pPr>
              <w:widowControl/>
              <w:textAlignment w:val="center"/>
              <w:rPr>
                <w:rFonts w:ascii="方正仿宋_GBK" w:eastAsia="方正仿宋_GBK" w:hAnsi="宋体" w:cs="方正仿宋_GBK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是否通过</w:t>
            </w:r>
          </w:p>
        </w:tc>
      </w:tr>
      <w:tr w:rsidR="0037404F">
        <w:trPr>
          <w:trHeight w:val="3232"/>
          <w:jc w:val="center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仿宋_GB2312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宋体" w:cs="仿宋_GB2312" w:hint="eastAsia"/>
                <w:b/>
                <w:bCs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1、本次遴选要求</w:t>
            </w:r>
            <w:bookmarkStart w:id="0" w:name="OLE_LINK1"/>
            <w:bookmarkStart w:id="1" w:name="OLE_LINK2"/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企业营业执照经营范围内包含</w:t>
            </w:r>
            <w:bookmarkStart w:id="2" w:name="OLE_LINK3"/>
            <w:bookmarkStart w:id="3" w:name="OLE_LINK4"/>
            <w:r w:rsidR="00211DB3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交通工程、建筑与市场工程、水利水电工程质量检测与鉴定，建筑材料、起重设备、建筑机械部件及配件的检测，工程安全防护产品质量检测，管道、压力容器无损检测，防雷、灯具检测，工程测量</w:t>
            </w:r>
            <w:bookmarkEnd w:id="2"/>
            <w:bookmarkEnd w:id="3"/>
            <w:r w:rsidR="00654073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等内容</w:t>
            </w:r>
            <w:bookmarkEnd w:id="0"/>
            <w:bookmarkEnd w:id="1"/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；</w:t>
            </w:r>
          </w:p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2、三年（2023年至今）具有不少于3个与本项目类似的业绩（以中标通知书或合同为准）；</w:t>
            </w:r>
          </w:p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3、提供近三年（2022-2024年度，若企业成立不足三年则提供成立以来的财务报表）的经会计师事务所或审计机构审计的财务会计报告；</w:t>
            </w:r>
          </w:p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4、</w:t>
            </w:r>
            <w:r w:rsidR="00B048FE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本次遴选对象为在西藏自治区</w:t>
            </w:r>
            <w:r w:rsidR="00B048FE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建筑市场监管公共服务平台备案企业，</w:t>
            </w:r>
            <w:r w:rsidR="00211DB3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由于工作需要</w:t>
            </w:r>
            <w:r w:rsidR="00BA572F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遴选对象优先考虑</w:t>
            </w:r>
            <w:r w:rsidR="004A0FEB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办公场所</w:t>
            </w:r>
            <w:r w:rsidR="00B048FE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（包括实验室、仪器设备）</w:t>
            </w:r>
            <w:r w:rsidR="00BA572F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在拉萨</w:t>
            </w:r>
            <w:r w:rsidR="004A0FEB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的</w:t>
            </w:r>
            <w:r w:rsidR="00BA572F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企业；</w:t>
            </w:r>
          </w:p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5、近三年（2022年度、2023年度、2024年度）企业未处于财产被接管、冻结、破产状态，并没有因违法违规或不诚信行为而被政府或业主宣布取消投标资格，以</w:t>
            </w:r>
            <w:r w:rsidR="00BA572F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应急管理、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住房城乡建设</w:t>
            </w:r>
            <w:r w:rsidR="00BA572F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等主管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部</w:t>
            </w:r>
            <w:r w:rsidR="00BA572F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门</w:t>
            </w: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、信用中国网站（严重失信主体名单、经营异常名录、重大税收违法失信主体）查询截图为准；</w:t>
            </w:r>
          </w:p>
          <w:p w:rsidR="00BA572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6、本项目不接受联合体。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7404F">
            <w:pPr>
              <w:spacing w:line="576" w:lineRule="exact"/>
              <w:rPr>
                <w:rFonts w:ascii="方正仿宋_GBK" w:eastAsia="方正仿宋_GBK" w:hAnsi="宋体" w:cs="仿宋_GB2312"/>
                <w:sz w:val="24"/>
                <w:szCs w:val="24"/>
              </w:rPr>
            </w:pPr>
          </w:p>
        </w:tc>
      </w:tr>
      <w:tr w:rsidR="0037404F">
        <w:trPr>
          <w:trHeight w:val="785"/>
          <w:jc w:val="center"/>
        </w:trPr>
        <w:tc>
          <w:tcPr>
            <w:tcW w:w="89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="宋体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宋体" w:cs="方正仿宋_GBK" w:hint="eastAsia"/>
                <w:b/>
                <w:bCs/>
                <w:kern w:val="0"/>
                <w:sz w:val="24"/>
                <w:szCs w:val="24"/>
              </w:rPr>
              <w:lastRenderedPageBreak/>
              <w:t>通过资格条件评审的才能进入详细评审，详细评审总得分100分，分值如下：</w:t>
            </w:r>
          </w:p>
        </w:tc>
      </w:tr>
    </w:tbl>
    <w:tbl>
      <w:tblPr>
        <w:tblStyle w:val="a8"/>
        <w:tblW w:w="8967" w:type="dxa"/>
        <w:jc w:val="center"/>
        <w:tblLayout w:type="fixed"/>
        <w:tblLook w:val="04A0"/>
      </w:tblPr>
      <w:tblGrid>
        <w:gridCol w:w="1182"/>
        <w:gridCol w:w="6557"/>
        <w:gridCol w:w="1228"/>
      </w:tblGrid>
      <w:tr w:rsidR="0037404F">
        <w:trPr>
          <w:jc w:val="center"/>
        </w:trPr>
        <w:tc>
          <w:tcPr>
            <w:tcW w:w="1182" w:type="dxa"/>
          </w:tcPr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bookmarkStart w:id="4" w:name="_Hlk148612614"/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评选项目</w:t>
            </w:r>
          </w:p>
        </w:tc>
        <w:tc>
          <w:tcPr>
            <w:tcW w:w="6557" w:type="dxa"/>
            <w:vAlign w:val="center"/>
          </w:tcPr>
          <w:p w:rsidR="0037404F" w:rsidRDefault="003117F0">
            <w:pPr>
              <w:widowControl/>
              <w:spacing w:line="576" w:lineRule="exact"/>
              <w:jc w:val="center"/>
              <w:textAlignment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评选内容</w:t>
            </w:r>
          </w:p>
        </w:tc>
        <w:tc>
          <w:tcPr>
            <w:tcW w:w="1228" w:type="dxa"/>
            <w:vAlign w:val="center"/>
          </w:tcPr>
          <w:p w:rsidR="0037404F" w:rsidRDefault="003117F0">
            <w:pPr>
              <w:widowControl/>
              <w:spacing w:line="576" w:lineRule="exact"/>
              <w:textAlignment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评选得分</w:t>
            </w:r>
          </w:p>
        </w:tc>
      </w:tr>
      <w:tr w:rsidR="0037404F">
        <w:trPr>
          <w:trHeight w:val="1877"/>
          <w:jc w:val="center"/>
        </w:trPr>
        <w:tc>
          <w:tcPr>
            <w:tcW w:w="1182" w:type="dxa"/>
            <w:vAlign w:val="center"/>
          </w:tcPr>
          <w:p w:rsidR="0037404F" w:rsidRDefault="003117F0">
            <w:pPr>
              <w:spacing w:line="576" w:lineRule="exact"/>
              <w:jc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企业综合资历</w:t>
            </w:r>
          </w:p>
        </w:tc>
        <w:tc>
          <w:tcPr>
            <w:tcW w:w="6557" w:type="dxa"/>
          </w:tcPr>
          <w:p w:rsidR="0037404F" w:rsidRDefault="003117F0">
            <w:pPr>
              <w:pStyle w:val="a5"/>
              <w:spacing w:line="576" w:lineRule="exact"/>
              <w:jc w:val="left"/>
              <w:rPr>
                <w:rFonts w:ascii="方正仿宋_GBK" w:eastAsia="方正仿宋_GBK" w:hAnsiTheme="minorEastAsia" w:cs="方正仿宋_GBK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Cs w:val="24"/>
              </w:rPr>
              <w:t>1、</w:t>
            </w:r>
            <w:r w:rsidR="004A0FEB">
              <w:rPr>
                <w:rFonts w:ascii="方正仿宋_GBK" w:eastAsia="方正仿宋_GBK" w:hAnsiTheme="minorEastAsia" w:cs="方正仿宋_GBK" w:hint="eastAsia"/>
                <w:szCs w:val="24"/>
              </w:rPr>
              <w:t>提供</w:t>
            </w:r>
            <w:r w:rsidR="004A0FEB">
              <w:rPr>
                <w:rFonts w:ascii="方正仿宋_GBK" w:eastAsia="方正仿宋_GBK" w:hAnsi="宋体" w:cs="方正仿宋_GBK" w:hint="eastAsia"/>
                <w:kern w:val="0"/>
                <w:szCs w:val="24"/>
              </w:rPr>
              <w:t>企业营业执照，经营范围要包含</w:t>
            </w:r>
            <w:r w:rsidR="00211DB3" w:rsidRPr="00211DB3">
              <w:rPr>
                <w:rFonts w:ascii="方正仿宋_GBK" w:eastAsia="方正仿宋_GBK" w:hAnsi="宋体" w:cs="方正仿宋_GBK" w:hint="eastAsia"/>
                <w:b/>
                <w:bCs/>
                <w:kern w:val="0"/>
                <w:szCs w:val="24"/>
              </w:rPr>
              <w:t>交通工程、建筑与市场工程、水利水电工程质量检测与鉴定，建筑材料、起重设备、建筑机械部件及配件的检测，工程安全防护产品质量检测，管道、压力容器无损检测，防雷、灯具检测，工程测量</w:t>
            </w:r>
            <w:r w:rsidR="0014435E">
              <w:rPr>
                <w:rFonts w:ascii="方正仿宋_GBK" w:eastAsia="方正仿宋_GBK" w:hAnsi="宋体" w:cs="方正仿宋_GBK" w:hint="eastAsia"/>
                <w:b/>
                <w:bCs/>
                <w:kern w:val="0"/>
                <w:szCs w:val="24"/>
              </w:rPr>
              <w:t>（</w:t>
            </w:r>
            <w:r w:rsidR="0014435E" w:rsidRPr="0014435E">
              <w:rPr>
                <w:rFonts w:ascii="方正仿宋_GBK" w:eastAsia="方正仿宋_GBK" w:hAnsi="宋体" w:cs="方正仿宋_GBK" w:hint="eastAsia"/>
                <w:kern w:val="0"/>
                <w:szCs w:val="24"/>
              </w:rPr>
              <w:t>每项1分</w:t>
            </w:r>
            <w:r w:rsidR="0014435E">
              <w:rPr>
                <w:rFonts w:ascii="方正仿宋_GBK" w:eastAsia="方正仿宋_GBK" w:hAnsi="宋体" w:cs="方正仿宋_GBK" w:hint="eastAsia"/>
                <w:b/>
                <w:bCs/>
                <w:kern w:val="0"/>
                <w:szCs w:val="24"/>
              </w:rPr>
              <w:t>）</w:t>
            </w:r>
            <w:r w:rsidR="0014435E">
              <w:rPr>
                <w:rFonts w:ascii="方正仿宋_GBK" w:eastAsia="方正仿宋_GBK" w:hAnsi="宋体" w:cs="方正仿宋_GBK" w:hint="eastAsia"/>
                <w:kern w:val="0"/>
                <w:szCs w:val="24"/>
              </w:rPr>
              <w:t>；取得厅级住建部门核发的建设工程质量检测机构资质证书</w:t>
            </w:r>
            <w:r w:rsidR="00912EC7">
              <w:rPr>
                <w:rFonts w:ascii="方正仿宋_GBK" w:eastAsia="方正仿宋_GBK" w:hAnsi="宋体" w:cs="方正仿宋_GBK" w:hint="eastAsia"/>
                <w:kern w:val="0"/>
                <w:szCs w:val="24"/>
              </w:rPr>
              <w:t>及检测能力附表</w:t>
            </w:r>
            <w:r w:rsidR="0014435E">
              <w:rPr>
                <w:rFonts w:ascii="方正仿宋_GBK" w:eastAsia="方正仿宋_GBK" w:hAnsi="宋体" w:cs="方正仿宋_GBK" w:hint="eastAsia"/>
                <w:kern w:val="0"/>
                <w:szCs w:val="24"/>
              </w:rPr>
              <w:t>（4分）。</w:t>
            </w:r>
            <w:r>
              <w:rPr>
                <w:rFonts w:ascii="方正仿宋_GBK" w:eastAsia="方正仿宋_GBK" w:hAnsiTheme="minorEastAsia" w:cs="方正仿宋_GBK" w:hint="eastAsia"/>
                <w:szCs w:val="24"/>
              </w:rPr>
              <w:t>满分</w:t>
            </w:r>
            <w:r w:rsidR="0014435E">
              <w:rPr>
                <w:rFonts w:ascii="方正仿宋_GBK" w:eastAsia="方正仿宋_GBK" w:hAnsiTheme="minorEastAsia" w:cs="方正仿宋_GBK" w:hint="eastAsia"/>
                <w:szCs w:val="24"/>
              </w:rPr>
              <w:t>10</w:t>
            </w:r>
            <w:r>
              <w:rPr>
                <w:rFonts w:ascii="方正仿宋_GBK" w:eastAsia="方正仿宋_GBK" w:hAnsiTheme="minorEastAsia" w:cs="方正仿宋_GBK" w:hint="eastAsia"/>
                <w:szCs w:val="24"/>
              </w:rPr>
              <w:t>分，</w:t>
            </w:r>
            <w:r w:rsidR="004A0FEB">
              <w:rPr>
                <w:rFonts w:ascii="方正仿宋_GBK" w:eastAsia="方正仿宋_GBK" w:hAnsiTheme="minorEastAsia" w:cs="方正仿宋_GBK" w:hint="eastAsia"/>
                <w:szCs w:val="24"/>
              </w:rPr>
              <w:t>每项得1分，</w:t>
            </w:r>
            <w:r>
              <w:rPr>
                <w:rFonts w:ascii="方正仿宋_GBK" w:eastAsia="方正仿宋_GBK" w:hAnsiTheme="minorEastAsia" w:cs="方正仿宋_GBK" w:hint="eastAsia"/>
                <w:szCs w:val="24"/>
              </w:rPr>
              <w:t>未提供不得分。</w:t>
            </w:r>
          </w:p>
          <w:p w:rsidR="0037404F" w:rsidRPr="00B048FE" w:rsidRDefault="003117F0">
            <w:pPr>
              <w:spacing w:line="576" w:lineRule="exact"/>
              <w:rPr>
                <w:rFonts w:ascii="方正仿宋_GBK" w:eastAsia="方正仿宋_GBK" w:hAnsiTheme="minorEastAsia" w:cs="方正仿宋_GBK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2、</w:t>
            </w:r>
            <w:r w:rsidRPr="003E4BC5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提供在</w:t>
            </w:r>
            <w:r w:rsidR="00B048FE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西藏自治区</w:t>
            </w:r>
            <w:bookmarkStart w:id="5" w:name="OLE_LINK7"/>
            <w:bookmarkStart w:id="6" w:name="OLE_LINK8"/>
            <w:r w:rsidR="00B048FE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建筑市场监管公共服务平台</w:t>
            </w:r>
            <w:bookmarkEnd w:id="5"/>
            <w:bookmarkEnd w:id="6"/>
            <w:r w:rsidR="00B048FE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备案截图</w:t>
            </w:r>
            <w:r w:rsidR="004A0FEB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得</w:t>
            </w:r>
            <w:r w:rsidR="00C07251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2</w:t>
            </w:r>
            <w:r w:rsidR="00B048FE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分</w:t>
            </w:r>
            <w:r w:rsidR="00FE01B7">
              <w:rPr>
                <w:rFonts w:ascii="方正仿宋_GBK" w:eastAsia="方正仿宋_GBK" w:hAnsi="宋体" w:cs="方正仿宋_GBK" w:hint="eastAsia"/>
                <w:kern w:val="0"/>
                <w:sz w:val="24"/>
                <w:szCs w:val="24"/>
              </w:rPr>
              <w:t>；</w:t>
            </w:r>
            <w:r w:rsidRPr="003E4BC5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满分</w:t>
            </w:r>
            <w:r w:rsidR="00C07251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2</w:t>
            </w:r>
            <w:r w:rsidRPr="003E4BC5">
              <w:rPr>
                <w:rFonts w:ascii="方正仿宋_GBK" w:eastAsia="方正仿宋_GBK" w:hAnsiTheme="minorEastAsia" w:cs="方正仿宋_GBK" w:hint="eastAsia"/>
                <w:color w:val="000000" w:themeColor="text1"/>
                <w:sz w:val="24"/>
                <w:szCs w:val="24"/>
              </w:rPr>
              <w:t>分，未提供或提供不齐全不得分。</w:t>
            </w:r>
          </w:p>
          <w:p w:rsidR="0037404F" w:rsidRPr="009224AA" w:rsidRDefault="003117F0" w:rsidP="00DA6116">
            <w:pPr>
              <w:spacing w:line="576" w:lineRule="exact"/>
              <w:rPr>
                <w:rFonts w:ascii="方正仿宋_GBK" w:eastAsia="方正仿宋_GBK" w:hAnsiTheme="minorEastAsia" w:cs="方正仿宋_GBK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3、</w:t>
            </w:r>
            <w:r w:rsidR="00FE01B7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要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具备在</w:t>
            </w:r>
            <w:r w:rsidR="00FE01B7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拉萨市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独立办公场所和必须的办公条件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，包括实验室、工作所需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的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回填仪、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重型触探仪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压实度灌砂桶（灌砂）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拉拔仪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钢筋扫描仪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楼板测厚仪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贝克曼梁（弯沉）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</w:t>
            </w:r>
            <w:r w:rsidR="0014435E" w:rsidRP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钻芯机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、防雷测试仪等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仪器设备</w:t>
            </w:r>
            <w:r w:rsidR="00FE01B7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；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需提供场地照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（</w:t>
            </w:r>
            <w:r w:rsidR="00DA6116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4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分）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、租房合同或房产证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（2分）、仪器设备照（6分，要求影像资料清晰、详细名称，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上述仪器必要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），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独立实验室及试验仪器（6分）。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满分</w:t>
            </w:r>
            <w:r w:rsidR="00B048F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1</w:t>
            </w:r>
            <w:r w:rsidR="0014435E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8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分，不提供或提供不齐全不</w:t>
            </w:r>
            <w:bookmarkStart w:id="7" w:name="OLE_LINK5"/>
            <w:bookmarkStart w:id="8" w:name="OLE_LINK6"/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得分</w:t>
            </w:r>
            <w:bookmarkEnd w:id="7"/>
            <w:bookmarkEnd w:id="8"/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1228" w:type="dxa"/>
            <w:vAlign w:val="center"/>
          </w:tcPr>
          <w:p w:rsidR="0037404F" w:rsidRDefault="003117F0" w:rsidP="00C07251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满分</w:t>
            </w:r>
            <w:r w:rsidR="0046766B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3</w:t>
            </w:r>
            <w:r w:rsidR="00C07251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分</w:t>
            </w:r>
          </w:p>
        </w:tc>
      </w:tr>
      <w:tr w:rsidR="0037404F">
        <w:trPr>
          <w:trHeight w:val="2030"/>
          <w:jc w:val="center"/>
        </w:trPr>
        <w:tc>
          <w:tcPr>
            <w:tcW w:w="1182" w:type="dxa"/>
            <w:vAlign w:val="center"/>
          </w:tcPr>
          <w:p w:rsidR="0037404F" w:rsidRDefault="003117F0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专业人员</w:t>
            </w:r>
          </w:p>
        </w:tc>
        <w:tc>
          <w:tcPr>
            <w:tcW w:w="6557" w:type="dxa"/>
            <w:vAlign w:val="center"/>
          </w:tcPr>
          <w:p w:rsidR="0037404F" w:rsidRPr="00D87440" w:rsidRDefault="003117F0">
            <w:pPr>
              <w:pStyle w:val="a5"/>
              <w:spacing w:line="576" w:lineRule="exact"/>
              <w:jc w:val="left"/>
              <w:rPr>
                <w:rFonts w:ascii="方正仿宋_GBK" w:eastAsia="方正仿宋_GBK" w:hAnsiTheme="minorEastAsia" w:cs="方正仿宋_GBK"/>
                <w:sz w:val="21"/>
                <w:szCs w:val="21"/>
              </w:rPr>
            </w:pPr>
            <w:r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1、每提供1名</w:t>
            </w:r>
            <w:r w:rsidR="00D87440"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及以上</w:t>
            </w:r>
            <w:r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本公司</w:t>
            </w:r>
            <w:r w:rsidR="00912EC7"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高级工程</w:t>
            </w:r>
            <w:r w:rsidR="009224AA"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师</w:t>
            </w:r>
            <w:r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职称人员</w:t>
            </w:r>
            <w:r w:rsidR="0022261C"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的</w:t>
            </w:r>
            <w:r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得2分，满分</w:t>
            </w:r>
            <w:r w:rsidR="002F0052"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4</w:t>
            </w:r>
            <w:r w:rsidRPr="00D87440">
              <w:rPr>
                <w:rFonts w:ascii="方正仿宋_GBK" w:eastAsia="方正仿宋_GBK" w:hAnsiTheme="minorEastAsia" w:cs="方正仿宋_GBK" w:hint="eastAsia"/>
                <w:sz w:val="21"/>
                <w:szCs w:val="21"/>
              </w:rPr>
              <w:t>分；</w:t>
            </w:r>
          </w:p>
          <w:p w:rsidR="0037404F" w:rsidRPr="00D87440" w:rsidRDefault="003117F0" w:rsidP="00912EC7">
            <w:pPr>
              <w:spacing w:line="576" w:lineRule="exact"/>
              <w:rPr>
                <w:rFonts w:ascii="方正仿宋_GBK" w:eastAsia="方正仿宋_GBK" w:hAnsiTheme="minorEastAsia" w:cs="方正仿宋_GBK"/>
                <w:szCs w:val="21"/>
              </w:rPr>
            </w:pPr>
            <w:r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2、每提供1名</w:t>
            </w:r>
            <w:r w:rsidR="00D87440"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及以上</w:t>
            </w:r>
            <w:r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本公司工程师</w:t>
            </w:r>
            <w:r w:rsidR="00912EC7"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、建筑工程师</w:t>
            </w:r>
            <w:r w:rsidR="0022261C"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的</w:t>
            </w:r>
            <w:r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得2分，满分</w:t>
            </w:r>
            <w:r w:rsidR="002F0052"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6</w:t>
            </w:r>
            <w:r w:rsidR="00912EC7" w:rsidRPr="00D87440">
              <w:rPr>
                <w:rFonts w:ascii="方正仿宋_GBK" w:eastAsia="方正仿宋_GBK" w:hAnsiTheme="minorEastAsia" w:cs="方正仿宋_GBK" w:hint="eastAsia"/>
                <w:szCs w:val="21"/>
              </w:rPr>
              <w:t>分。</w:t>
            </w:r>
          </w:p>
        </w:tc>
        <w:tc>
          <w:tcPr>
            <w:tcW w:w="1228" w:type="dxa"/>
            <w:vAlign w:val="center"/>
          </w:tcPr>
          <w:p w:rsidR="0037404F" w:rsidRDefault="003117F0" w:rsidP="00912EC7">
            <w:pPr>
              <w:spacing w:line="576" w:lineRule="exact"/>
              <w:jc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满分</w:t>
            </w:r>
            <w:r w:rsidR="002F005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1</w:t>
            </w:r>
            <w:r w:rsidR="00912EC7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分</w:t>
            </w:r>
          </w:p>
        </w:tc>
      </w:tr>
      <w:tr w:rsidR="0037404F">
        <w:trPr>
          <w:trHeight w:val="558"/>
          <w:jc w:val="center"/>
        </w:trPr>
        <w:tc>
          <w:tcPr>
            <w:tcW w:w="1182" w:type="dxa"/>
            <w:vAlign w:val="center"/>
          </w:tcPr>
          <w:p w:rsidR="0037404F" w:rsidRDefault="003117F0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lastRenderedPageBreak/>
              <w:t>企业业绩</w:t>
            </w:r>
          </w:p>
        </w:tc>
        <w:tc>
          <w:tcPr>
            <w:tcW w:w="6557" w:type="dxa"/>
            <w:vAlign w:val="center"/>
          </w:tcPr>
          <w:p w:rsidR="0037404F" w:rsidRDefault="003117F0" w:rsidP="00C07251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类似项目代理业绩每提供一项得</w:t>
            </w:r>
            <w:r w:rsidR="00C07251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5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分，满分</w:t>
            </w:r>
            <w:r w:rsidR="002F0052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2</w:t>
            </w:r>
            <w:r w:rsidR="00C07251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0</w:t>
            </w: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分</w:t>
            </w:r>
            <w:r w:rsidR="00D87440"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。</w:t>
            </w:r>
          </w:p>
        </w:tc>
        <w:tc>
          <w:tcPr>
            <w:tcW w:w="1228" w:type="dxa"/>
            <w:vAlign w:val="center"/>
          </w:tcPr>
          <w:p w:rsidR="0037404F" w:rsidRDefault="003117F0" w:rsidP="00C07251">
            <w:pPr>
              <w:spacing w:line="576" w:lineRule="exact"/>
              <w:jc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满分</w:t>
            </w:r>
            <w:r w:rsidR="002F005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2</w:t>
            </w:r>
            <w:r w:rsidR="00C07251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分</w:t>
            </w:r>
          </w:p>
        </w:tc>
      </w:tr>
      <w:tr w:rsidR="0037404F">
        <w:trPr>
          <w:trHeight w:val="1241"/>
          <w:jc w:val="center"/>
        </w:trPr>
        <w:tc>
          <w:tcPr>
            <w:tcW w:w="1182" w:type="dxa"/>
            <w:vAlign w:val="center"/>
          </w:tcPr>
          <w:p w:rsidR="0037404F" w:rsidRDefault="003117F0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sz w:val="24"/>
                <w:szCs w:val="24"/>
              </w:rPr>
              <w:t>服务方案</w:t>
            </w:r>
          </w:p>
        </w:tc>
        <w:tc>
          <w:tcPr>
            <w:tcW w:w="6557" w:type="dxa"/>
            <w:vAlign w:val="center"/>
          </w:tcPr>
          <w:p w:rsidR="0037404F" w:rsidRDefault="003117F0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根据实施方案进行评</w:t>
            </w:r>
            <w:r w:rsidR="00C07251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分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，包括但不限于：①工作流程；②技术方案与路线；③编制服务的总体思路和部署；④工作任务与目标；⑤</w:t>
            </w:r>
            <w:r w:rsidR="002F005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工作纪律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；⑥保密措施；以上全部内容详细合理、符合项目实际需求的得24分</w:t>
            </w:r>
            <w:r w:rsidR="002F005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（满分）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，每缺少一项或不满足要求的或方案脱离实际的扣4分，每有一项内容存在缺陷或不足的扣3分，直至扣完为止。</w:t>
            </w:r>
          </w:p>
          <w:p w:rsidR="0037404F" w:rsidRDefault="003117F0" w:rsidP="002F0052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注：服务方案页数控制在</w:t>
            </w:r>
            <w:r w:rsidR="002F005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150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页以内。</w:t>
            </w:r>
          </w:p>
        </w:tc>
        <w:tc>
          <w:tcPr>
            <w:tcW w:w="1228" w:type="dxa"/>
            <w:vAlign w:val="center"/>
          </w:tcPr>
          <w:p w:rsidR="0037404F" w:rsidRDefault="003117F0">
            <w:pPr>
              <w:spacing w:line="576" w:lineRule="exact"/>
              <w:jc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满分24分</w:t>
            </w:r>
          </w:p>
        </w:tc>
      </w:tr>
      <w:tr w:rsidR="0037404F">
        <w:trPr>
          <w:trHeight w:val="1241"/>
          <w:jc w:val="center"/>
        </w:trPr>
        <w:tc>
          <w:tcPr>
            <w:tcW w:w="1182" w:type="dxa"/>
            <w:vAlign w:val="center"/>
          </w:tcPr>
          <w:p w:rsidR="0037404F" w:rsidRDefault="002F0052">
            <w:pPr>
              <w:spacing w:line="576" w:lineRule="exact"/>
              <w:jc w:val="center"/>
              <w:rPr>
                <w:rFonts w:ascii="方正仿宋_GBK" w:eastAsia="方正仿宋_GBK" w:hAnsiTheme="minorEastAsia" w:cs="方正仿宋_GBK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报价</w:t>
            </w:r>
          </w:p>
        </w:tc>
        <w:tc>
          <w:tcPr>
            <w:tcW w:w="6557" w:type="dxa"/>
            <w:vAlign w:val="center"/>
          </w:tcPr>
          <w:p w:rsidR="0037404F" w:rsidRDefault="002F0052" w:rsidP="00151C31">
            <w:pPr>
              <w:spacing w:line="576" w:lineRule="exact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原则项目总价控制在</w:t>
            </w:r>
            <w:r w:rsidR="00151C31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35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万元以内，报价最低者</w:t>
            </w:r>
            <w:r w:rsidR="00BA539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得满分，其余按照报价高低进行评分。</w:t>
            </w:r>
          </w:p>
        </w:tc>
        <w:tc>
          <w:tcPr>
            <w:tcW w:w="1228" w:type="dxa"/>
            <w:vAlign w:val="center"/>
          </w:tcPr>
          <w:p w:rsidR="0037404F" w:rsidRDefault="003117F0" w:rsidP="00BA5392">
            <w:pPr>
              <w:spacing w:line="576" w:lineRule="exact"/>
              <w:jc w:val="center"/>
              <w:rPr>
                <w:rFonts w:ascii="方正仿宋_GBK" w:eastAsia="方正仿宋_GBK" w:hAnsiTheme="minorEastAsia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满分</w:t>
            </w:r>
            <w:r w:rsidR="00BA5392"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16</w:t>
            </w:r>
            <w:r>
              <w:rPr>
                <w:rFonts w:ascii="方正仿宋_GBK" w:eastAsia="方正仿宋_GBK" w:hAnsiTheme="minorEastAsia" w:cs="方正仿宋_GBK" w:hint="eastAsia"/>
                <w:kern w:val="0"/>
                <w:sz w:val="24"/>
                <w:szCs w:val="24"/>
              </w:rPr>
              <w:t>分</w:t>
            </w:r>
          </w:p>
        </w:tc>
      </w:tr>
      <w:bookmarkEnd w:id="4"/>
    </w:tbl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 w:hAnsi="仿宋_GB2312" w:cs="仿宋_GB2312" w:hint="eastAsia"/>
        </w:rPr>
      </w:pPr>
    </w:p>
    <w:p w:rsidR="0037404F" w:rsidRDefault="0037404F">
      <w:pPr>
        <w:spacing w:line="576" w:lineRule="exact"/>
        <w:rPr>
          <w:rFonts w:ascii="方正仿宋_GBK" w:eastAsia="方正仿宋_GBK"/>
        </w:rPr>
      </w:pPr>
      <w:bookmarkStart w:id="9" w:name="_GoBack"/>
      <w:bookmarkEnd w:id="9"/>
    </w:p>
    <w:sectPr w:rsidR="0037404F" w:rsidSect="003740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15" w:rsidRDefault="000B4115" w:rsidP="00654073">
      <w:r>
        <w:separator/>
      </w:r>
    </w:p>
  </w:endnote>
  <w:endnote w:type="continuationSeparator" w:id="1">
    <w:p w:rsidR="000B4115" w:rsidRDefault="000B4115" w:rsidP="00654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15" w:rsidRDefault="000B4115" w:rsidP="00654073">
      <w:r>
        <w:separator/>
      </w:r>
    </w:p>
  </w:footnote>
  <w:footnote w:type="continuationSeparator" w:id="1">
    <w:p w:rsidR="000B4115" w:rsidRDefault="000B4115" w:rsidP="00654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kxYTk2MjM4MzE2YjRlMGYzZmFjZTI0MDQ1OWUzN2YifQ=="/>
  </w:docVars>
  <w:rsids>
    <w:rsidRoot w:val="42E60667"/>
    <w:rsid w:val="00131CE9"/>
    <w:rsid w:val="42E60667"/>
    <w:rsid w:val="9B7A76A5"/>
    <w:rsid w:val="9FFCA6FD"/>
    <w:rsid w:val="BFFF09BC"/>
    <w:rsid w:val="CB1C8F2C"/>
    <w:rsid w:val="D0AF06E0"/>
    <w:rsid w:val="D75FC70E"/>
    <w:rsid w:val="DECFFCF1"/>
    <w:rsid w:val="EBFF1083"/>
    <w:rsid w:val="EFB60EC2"/>
    <w:rsid w:val="00021232"/>
    <w:rsid w:val="000546BE"/>
    <w:rsid w:val="00091585"/>
    <w:rsid w:val="000B4115"/>
    <w:rsid w:val="000F2ADA"/>
    <w:rsid w:val="0014435E"/>
    <w:rsid w:val="00151C31"/>
    <w:rsid w:val="001E2AA0"/>
    <w:rsid w:val="00211DB3"/>
    <w:rsid w:val="0022261C"/>
    <w:rsid w:val="00232AA5"/>
    <w:rsid w:val="002F0052"/>
    <w:rsid w:val="003117F0"/>
    <w:rsid w:val="003655FA"/>
    <w:rsid w:val="0037404F"/>
    <w:rsid w:val="00377683"/>
    <w:rsid w:val="003E4BC5"/>
    <w:rsid w:val="0043065C"/>
    <w:rsid w:val="0046766B"/>
    <w:rsid w:val="004A0FEB"/>
    <w:rsid w:val="004B2203"/>
    <w:rsid w:val="004C45AF"/>
    <w:rsid w:val="0051047E"/>
    <w:rsid w:val="00542360"/>
    <w:rsid w:val="00605706"/>
    <w:rsid w:val="006075D9"/>
    <w:rsid w:val="00654073"/>
    <w:rsid w:val="006C0301"/>
    <w:rsid w:val="00723653"/>
    <w:rsid w:val="007A2316"/>
    <w:rsid w:val="007A7D8A"/>
    <w:rsid w:val="007C4594"/>
    <w:rsid w:val="00816580"/>
    <w:rsid w:val="00912EC7"/>
    <w:rsid w:val="00922283"/>
    <w:rsid w:val="009224AA"/>
    <w:rsid w:val="009619CD"/>
    <w:rsid w:val="009E0740"/>
    <w:rsid w:val="00A8299B"/>
    <w:rsid w:val="00B048FE"/>
    <w:rsid w:val="00B970BC"/>
    <w:rsid w:val="00BA5392"/>
    <w:rsid w:val="00BA572F"/>
    <w:rsid w:val="00BD4CA2"/>
    <w:rsid w:val="00C07251"/>
    <w:rsid w:val="00C56579"/>
    <w:rsid w:val="00C6208C"/>
    <w:rsid w:val="00C652FA"/>
    <w:rsid w:val="00C6713A"/>
    <w:rsid w:val="00CB1A6C"/>
    <w:rsid w:val="00D725B4"/>
    <w:rsid w:val="00D87440"/>
    <w:rsid w:val="00DA6116"/>
    <w:rsid w:val="00DE6A21"/>
    <w:rsid w:val="00EA2AD3"/>
    <w:rsid w:val="00F41855"/>
    <w:rsid w:val="00FB198E"/>
    <w:rsid w:val="00FC2D16"/>
    <w:rsid w:val="00FE01B7"/>
    <w:rsid w:val="024535A0"/>
    <w:rsid w:val="03E434DB"/>
    <w:rsid w:val="060D18FC"/>
    <w:rsid w:val="07921036"/>
    <w:rsid w:val="0CF462EF"/>
    <w:rsid w:val="21751354"/>
    <w:rsid w:val="26A526DC"/>
    <w:rsid w:val="3BCC3E0F"/>
    <w:rsid w:val="42E60667"/>
    <w:rsid w:val="4A300509"/>
    <w:rsid w:val="4F460774"/>
    <w:rsid w:val="52C15986"/>
    <w:rsid w:val="55652EB2"/>
    <w:rsid w:val="57BFCF4F"/>
    <w:rsid w:val="592876AC"/>
    <w:rsid w:val="5ADF54B5"/>
    <w:rsid w:val="5D59154F"/>
    <w:rsid w:val="5EF7B368"/>
    <w:rsid w:val="60B81ABE"/>
    <w:rsid w:val="661B7EFB"/>
    <w:rsid w:val="67EEC550"/>
    <w:rsid w:val="6DC9002B"/>
    <w:rsid w:val="6EFA7392"/>
    <w:rsid w:val="71DF5C3A"/>
    <w:rsid w:val="77DA1086"/>
    <w:rsid w:val="7CFE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 Indent" w:uiPriority="99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0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qFormat/>
    <w:rsid w:val="0037404F"/>
    <w:pPr>
      <w:ind w:firstLine="640"/>
    </w:pPr>
    <w:rPr>
      <w:sz w:val="32"/>
      <w:szCs w:val="24"/>
    </w:rPr>
  </w:style>
  <w:style w:type="paragraph" w:styleId="a4">
    <w:name w:val="Balloon Text"/>
    <w:basedOn w:val="a"/>
    <w:next w:val="a"/>
    <w:uiPriority w:val="99"/>
    <w:semiHidden/>
    <w:qFormat/>
    <w:rsid w:val="0037404F"/>
    <w:rPr>
      <w:sz w:val="18"/>
      <w:szCs w:val="18"/>
    </w:rPr>
  </w:style>
  <w:style w:type="paragraph" w:styleId="a5">
    <w:name w:val="Date"/>
    <w:basedOn w:val="a"/>
    <w:next w:val="a"/>
    <w:qFormat/>
    <w:rsid w:val="0037404F"/>
    <w:rPr>
      <w:sz w:val="24"/>
      <w:szCs w:val="20"/>
    </w:rPr>
  </w:style>
  <w:style w:type="paragraph" w:styleId="a6">
    <w:name w:val="footer"/>
    <w:basedOn w:val="a"/>
    <w:link w:val="Char"/>
    <w:qFormat/>
    <w:rsid w:val="0037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37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374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3740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qFormat/>
    <w:rsid w:val="0037404F"/>
    <w:rPr>
      <w:kern w:val="2"/>
      <w:sz w:val="18"/>
      <w:szCs w:val="18"/>
      <w:lang w:bidi="ar-SA"/>
    </w:rPr>
  </w:style>
  <w:style w:type="character" w:customStyle="1" w:styleId="Char">
    <w:name w:val="页脚 Char"/>
    <w:basedOn w:val="a0"/>
    <w:link w:val="a6"/>
    <w:qFormat/>
    <w:rsid w:val="0037404F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6705-C0ED-4E1F-9B17-2D910DAF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Demon W</dc:creator>
  <cp:lastModifiedBy>Windows 用户</cp:lastModifiedBy>
  <cp:revision>8</cp:revision>
  <cp:lastPrinted>2025-07-15T03:27:00Z</cp:lastPrinted>
  <dcterms:created xsi:type="dcterms:W3CDTF">2025-07-13T07:48:00Z</dcterms:created>
  <dcterms:modified xsi:type="dcterms:W3CDTF">2025-07-15T03:55:00Z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50EF9068854E4F808535FF57FCBCA5F1_13</vt:lpwstr>
  </property>
  <property fmtid="{D5CDD505-2E9C-101B-9397-08002B2CF9AE}" pid="4" name="KSOTemplateDocerSaveRecord">
    <vt:lpwstr>eyJoZGlkIjoiNDQ2YWJlYTQyMTcwNTgzMjcwZjkzOTMxOTRjY2ZjOGUifQ==</vt:lpwstr>
  </property>
</Properties>
</file>