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83BB6">
      <w:pPr>
        <w:keepNext w:val="0"/>
        <w:keepLines w:val="0"/>
        <w:pageBreakBefore w:val="0"/>
        <w:widowControl/>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附件：遴选办法具体内容</w:t>
      </w:r>
    </w:p>
    <w:tbl>
      <w:tblPr>
        <w:tblStyle w:val="6"/>
        <w:tblW w:w="8959" w:type="dxa"/>
        <w:jc w:val="center"/>
        <w:tblLayout w:type="autofit"/>
        <w:tblCellMar>
          <w:top w:w="0" w:type="dxa"/>
          <w:left w:w="108" w:type="dxa"/>
          <w:bottom w:w="0" w:type="dxa"/>
          <w:right w:w="108" w:type="dxa"/>
        </w:tblCellMar>
      </w:tblPr>
      <w:tblGrid>
        <w:gridCol w:w="8959"/>
      </w:tblGrid>
      <w:tr w14:paraId="16BC93CD">
        <w:trPr>
          <w:trHeight w:val="1295" w:hRule="atLeast"/>
          <w:jc w:val="center"/>
        </w:trPr>
        <w:tc>
          <w:tcPr>
            <w:tcW w:w="8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30B6">
            <w:pPr>
              <w:keepNext w:val="0"/>
              <w:keepLines w:val="0"/>
              <w:pageBreakBefore w:val="0"/>
              <w:widowControl/>
              <w:kinsoku/>
              <w:wordWrap/>
              <w:overflowPunct/>
              <w:topLinePunct w:val="0"/>
              <w:autoSpaceDE/>
              <w:autoSpaceDN/>
              <w:bidi w:val="0"/>
              <w:adjustRightInd/>
              <w:snapToGrid/>
              <w:spacing w:line="576" w:lineRule="exact"/>
              <w:jc w:val="both"/>
              <w:textAlignment w:val="center"/>
              <w:rPr>
                <w:rFonts w:hint="eastAsia" w:ascii="方正仿宋_GBK" w:hAnsi="方正仿宋_GBK" w:eastAsia="方正仿宋_GBK" w:cs="方正仿宋_GBK"/>
                <w:b/>
                <w:bCs/>
                <w:color w:val="000000" w:themeColor="text1"/>
                <w:kern w:val="0"/>
                <w:sz w:val="21"/>
                <w:szCs w:val="21"/>
                <w:highlight w:val="none"/>
                <w:lang w:bidi="ar"/>
                <w14:textFill>
                  <w14:solidFill>
                    <w14:schemeClr w14:val="tx1"/>
                  </w14:solidFill>
                </w14:textFill>
              </w:rPr>
            </w:pPr>
            <w:r>
              <w:rPr>
                <w:rFonts w:hint="eastAsia" w:ascii="方正仿宋_GBK" w:hAnsi="方正仿宋_GBK" w:eastAsia="方正仿宋_GBK" w:cs="方正仿宋_GBK"/>
                <w:b/>
                <w:bCs/>
                <w:color w:val="000000" w:themeColor="text1"/>
                <w:kern w:val="0"/>
                <w:sz w:val="21"/>
                <w:szCs w:val="21"/>
                <w:highlight w:val="none"/>
                <w:lang w:bidi="ar"/>
                <w14:textFill>
                  <w14:solidFill>
                    <w14:schemeClr w14:val="tx1"/>
                  </w14:solidFill>
                </w14:textFill>
              </w:rPr>
              <w:t>商务部分：</w:t>
            </w:r>
            <w:r>
              <w:rPr>
                <w:rFonts w:hint="eastAsia" w:ascii="方正仿宋_GBK" w:hAnsi="方正仿宋_GBK" w:eastAsia="方正仿宋_GBK" w:cs="方正仿宋_GBK"/>
                <w:b/>
                <w:bCs/>
                <w:color w:val="000000" w:themeColor="text1"/>
                <w:kern w:val="0"/>
                <w:sz w:val="21"/>
                <w:szCs w:val="21"/>
                <w:highlight w:val="none"/>
                <w:lang w:val="en-US" w:eastAsia="zh-CN" w:bidi="ar"/>
                <w14:textFill>
                  <w14:solidFill>
                    <w14:schemeClr w14:val="tx1"/>
                  </w14:solidFill>
                </w14:textFill>
              </w:rPr>
              <w:t>44</w:t>
            </w:r>
            <w:r>
              <w:rPr>
                <w:rFonts w:hint="eastAsia" w:ascii="方正仿宋_GBK" w:hAnsi="方正仿宋_GBK" w:eastAsia="方正仿宋_GBK" w:cs="方正仿宋_GBK"/>
                <w:b/>
                <w:bCs/>
                <w:color w:val="000000" w:themeColor="text1"/>
                <w:kern w:val="0"/>
                <w:sz w:val="21"/>
                <w:szCs w:val="21"/>
                <w:highlight w:val="none"/>
                <w:lang w:bidi="ar"/>
                <w14:textFill>
                  <w14:solidFill>
                    <w14:schemeClr w14:val="tx1"/>
                  </w14:solidFill>
                </w14:textFill>
              </w:rPr>
              <w:t>分</w:t>
            </w:r>
          </w:p>
          <w:p w14:paraId="700DA48F">
            <w:pPr>
              <w:keepNext w:val="0"/>
              <w:keepLines w:val="0"/>
              <w:pageBreakBefore w:val="0"/>
              <w:widowControl/>
              <w:kinsoku/>
              <w:wordWrap/>
              <w:overflowPunct/>
              <w:topLinePunct w:val="0"/>
              <w:autoSpaceDE/>
              <w:autoSpaceDN/>
              <w:bidi w:val="0"/>
              <w:adjustRightInd/>
              <w:snapToGrid/>
              <w:spacing w:line="576" w:lineRule="exact"/>
              <w:jc w:val="both"/>
              <w:textAlignment w:val="center"/>
              <w:rPr>
                <w:rFonts w:hint="eastAsia" w:ascii="方正仿宋_GBK" w:hAnsi="方正仿宋_GBK" w:eastAsia="方正仿宋_GBK" w:cs="方正仿宋_GBK"/>
                <w:b/>
                <w:bCs/>
                <w:color w:val="000000" w:themeColor="text1"/>
                <w:kern w:val="0"/>
                <w:sz w:val="21"/>
                <w:szCs w:val="21"/>
                <w:highlight w:val="none"/>
                <w:lang w:bidi="ar"/>
                <w14:textFill>
                  <w14:solidFill>
                    <w14:schemeClr w14:val="tx1"/>
                  </w14:solidFill>
                </w14:textFill>
              </w:rPr>
            </w:pPr>
            <w:r>
              <w:rPr>
                <w:rFonts w:hint="eastAsia" w:ascii="方正仿宋_GBK" w:hAnsi="方正仿宋_GBK" w:eastAsia="方正仿宋_GBK" w:cs="方正仿宋_GBK"/>
                <w:b/>
                <w:bCs/>
                <w:color w:val="000000" w:themeColor="text1"/>
                <w:kern w:val="0"/>
                <w:sz w:val="21"/>
                <w:szCs w:val="21"/>
                <w:highlight w:val="none"/>
                <w:lang w:val="en-US" w:eastAsia="zh-CN" w:bidi="ar"/>
                <w14:textFill>
                  <w14:solidFill>
                    <w14:schemeClr w14:val="tx1"/>
                  </w14:solidFill>
                </w14:textFill>
              </w:rPr>
              <w:t>服务</w:t>
            </w:r>
            <w:r>
              <w:rPr>
                <w:rFonts w:hint="eastAsia" w:ascii="方正仿宋_GBK" w:hAnsi="方正仿宋_GBK" w:eastAsia="方正仿宋_GBK" w:cs="方正仿宋_GBK"/>
                <w:b/>
                <w:bCs/>
                <w:color w:val="000000" w:themeColor="text1"/>
                <w:kern w:val="0"/>
                <w:sz w:val="21"/>
                <w:szCs w:val="21"/>
                <w:highlight w:val="none"/>
                <w:lang w:bidi="ar"/>
                <w14:textFill>
                  <w14:solidFill>
                    <w14:schemeClr w14:val="tx1"/>
                  </w14:solidFill>
                </w14:textFill>
              </w:rPr>
              <w:t>部分：</w:t>
            </w:r>
            <w:r>
              <w:rPr>
                <w:rFonts w:hint="eastAsia" w:ascii="方正仿宋_GBK" w:hAnsi="方正仿宋_GBK" w:eastAsia="方正仿宋_GBK" w:cs="方正仿宋_GBK"/>
                <w:b/>
                <w:bCs/>
                <w:color w:val="000000" w:themeColor="text1"/>
                <w:kern w:val="0"/>
                <w:sz w:val="21"/>
                <w:szCs w:val="21"/>
                <w:highlight w:val="none"/>
                <w:lang w:val="en-US" w:eastAsia="zh-CN" w:bidi="ar"/>
                <w14:textFill>
                  <w14:solidFill>
                    <w14:schemeClr w14:val="tx1"/>
                  </w14:solidFill>
                </w14:textFill>
              </w:rPr>
              <w:t>41</w:t>
            </w:r>
            <w:r>
              <w:rPr>
                <w:rFonts w:hint="eastAsia" w:ascii="方正仿宋_GBK" w:hAnsi="方正仿宋_GBK" w:eastAsia="方正仿宋_GBK" w:cs="方正仿宋_GBK"/>
                <w:b/>
                <w:bCs/>
                <w:color w:val="000000" w:themeColor="text1"/>
                <w:kern w:val="0"/>
                <w:sz w:val="21"/>
                <w:szCs w:val="21"/>
                <w:highlight w:val="none"/>
                <w:lang w:bidi="ar"/>
                <w14:textFill>
                  <w14:solidFill>
                    <w14:schemeClr w14:val="tx1"/>
                  </w14:solidFill>
                </w14:textFill>
              </w:rPr>
              <w:t>分</w:t>
            </w:r>
          </w:p>
          <w:p w14:paraId="2F94183A">
            <w:pPr>
              <w:keepNext w:val="0"/>
              <w:keepLines w:val="0"/>
              <w:pageBreakBefore w:val="0"/>
              <w:widowControl/>
              <w:kinsoku/>
              <w:wordWrap/>
              <w:overflowPunct/>
              <w:topLinePunct w:val="0"/>
              <w:autoSpaceDE/>
              <w:autoSpaceDN/>
              <w:bidi w:val="0"/>
              <w:adjustRightInd/>
              <w:snapToGrid/>
              <w:spacing w:line="576" w:lineRule="exact"/>
              <w:jc w:val="both"/>
              <w:textAlignment w:val="center"/>
              <w:rPr>
                <w:rFonts w:hint="eastAsia" w:ascii="方正仿宋_GBK" w:hAnsi="方正仿宋_GBK" w:eastAsia="方正仿宋_GBK" w:cs="方正仿宋_GBK"/>
                <w:b/>
                <w:bCs/>
                <w:color w:val="000000" w:themeColor="text1"/>
                <w:kern w:val="0"/>
                <w:sz w:val="21"/>
                <w:szCs w:val="21"/>
                <w:highlight w:val="none"/>
                <w:lang w:bidi="ar"/>
                <w14:textFill>
                  <w14:solidFill>
                    <w14:schemeClr w14:val="tx1"/>
                  </w14:solidFill>
                </w14:textFill>
              </w:rPr>
            </w:pPr>
            <w:r>
              <w:rPr>
                <w:rFonts w:hint="eastAsia" w:ascii="方正仿宋_GBK" w:hAnsi="方正仿宋_GBK" w:eastAsia="方正仿宋_GBK" w:cs="方正仿宋_GBK"/>
                <w:b/>
                <w:bCs/>
                <w:color w:val="000000" w:themeColor="text1"/>
                <w:kern w:val="0"/>
                <w:sz w:val="21"/>
                <w:szCs w:val="21"/>
                <w:highlight w:val="none"/>
                <w:lang w:val="en-US" w:eastAsia="zh-CN" w:bidi="ar"/>
                <w14:textFill>
                  <w14:solidFill>
                    <w14:schemeClr w14:val="tx1"/>
                  </w14:solidFill>
                </w14:textFill>
              </w:rPr>
              <w:t>课题研究</w:t>
            </w:r>
            <w:r>
              <w:rPr>
                <w:rFonts w:hint="eastAsia" w:ascii="方正仿宋_GBK" w:hAnsi="方正仿宋_GBK" w:eastAsia="方正仿宋_GBK" w:cs="方正仿宋_GBK"/>
                <w:b/>
                <w:bCs/>
                <w:color w:val="000000" w:themeColor="text1"/>
                <w:kern w:val="0"/>
                <w:sz w:val="21"/>
                <w:szCs w:val="21"/>
                <w:highlight w:val="none"/>
                <w:lang w:bidi="ar"/>
                <w14:textFill>
                  <w14:solidFill>
                    <w14:schemeClr w14:val="tx1"/>
                  </w14:solidFill>
                </w14:textFill>
              </w:rPr>
              <w:t>投标报价：</w:t>
            </w:r>
            <w:r>
              <w:rPr>
                <w:rFonts w:hint="eastAsia" w:ascii="方正仿宋_GBK" w:hAnsi="方正仿宋_GBK" w:eastAsia="方正仿宋_GBK" w:cs="方正仿宋_GBK"/>
                <w:b/>
                <w:bCs/>
                <w:color w:val="000000" w:themeColor="text1"/>
                <w:kern w:val="0"/>
                <w:sz w:val="21"/>
                <w:szCs w:val="21"/>
                <w:highlight w:val="none"/>
                <w:lang w:val="en-US" w:eastAsia="zh-CN" w:bidi="ar"/>
                <w14:textFill>
                  <w14:solidFill>
                    <w14:schemeClr w14:val="tx1"/>
                  </w14:solidFill>
                </w14:textFill>
              </w:rPr>
              <w:t>15</w:t>
            </w:r>
            <w:r>
              <w:rPr>
                <w:rFonts w:hint="eastAsia" w:ascii="方正仿宋_GBK" w:hAnsi="方正仿宋_GBK" w:eastAsia="方正仿宋_GBK" w:cs="方正仿宋_GBK"/>
                <w:b/>
                <w:bCs/>
                <w:color w:val="000000" w:themeColor="text1"/>
                <w:kern w:val="0"/>
                <w:sz w:val="21"/>
                <w:szCs w:val="21"/>
                <w:highlight w:val="none"/>
                <w:lang w:bidi="ar"/>
                <w14:textFill>
                  <w14:solidFill>
                    <w14:schemeClr w14:val="tx1"/>
                  </w14:solidFill>
                </w14:textFill>
              </w:rPr>
              <w:t>分</w:t>
            </w:r>
          </w:p>
        </w:tc>
      </w:tr>
    </w:tbl>
    <w:tbl>
      <w:tblPr>
        <w:tblStyle w:val="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1517"/>
        <w:gridCol w:w="3696"/>
        <w:gridCol w:w="1596"/>
      </w:tblGrid>
      <w:tr w14:paraId="0B26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Pr>
          <w:p w14:paraId="1CBDB95A">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bookmarkStart w:id="0" w:name="_Hlk148612614"/>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条款号</w:t>
            </w:r>
          </w:p>
        </w:tc>
        <w:tc>
          <w:tcPr>
            <w:tcW w:w="1517" w:type="dxa"/>
            <w:vAlign w:val="center"/>
          </w:tcPr>
          <w:p w14:paraId="293FB1C9">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评审因素</w:t>
            </w:r>
          </w:p>
        </w:tc>
        <w:tc>
          <w:tcPr>
            <w:tcW w:w="3696" w:type="dxa"/>
            <w:vAlign w:val="center"/>
          </w:tcPr>
          <w:p w14:paraId="0B83275C">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评审标准</w:t>
            </w:r>
          </w:p>
        </w:tc>
        <w:tc>
          <w:tcPr>
            <w:tcW w:w="1596" w:type="dxa"/>
          </w:tcPr>
          <w:p w14:paraId="4933484D">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标准分</w:t>
            </w:r>
          </w:p>
        </w:tc>
      </w:tr>
      <w:tr w14:paraId="2934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846" w:type="dxa"/>
            <w:vMerge w:val="restart"/>
            <w:vAlign w:val="center"/>
          </w:tcPr>
          <w:p w14:paraId="43540944">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.1</w:t>
            </w:r>
          </w:p>
        </w:tc>
        <w:tc>
          <w:tcPr>
            <w:tcW w:w="1276" w:type="dxa"/>
            <w:vMerge w:val="restart"/>
            <w:vAlign w:val="center"/>
          </w:tcPr>
          <w:p w14:paraId="29AF6689">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商务部分评审（</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44</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w:t>
            </w:r>
          </w:p>
        </w:tc>
        <w:tc>
          <w:tcPr>
            <w:tcW w:w="1517" w:type="dxa"/>
            <w:vAlign w:val="center"/>
          </w:tcPr>
          <w:p w14:paraId="643E771C">
            <w:pPr>
              <w:keepNext w:val="0"/>
              <w:keepLines w:val="0"/>
              <w:pageBreakBefore w:val="0"/>
              <w:kinsoku/>
              <w:wordWrap/>
              <w:overflowPunct/>
              <w:topLinePunct w:val="0"/>
              <w:autoSpaceDE/>
              <w:autoSpaceDN/>
              <w:bidi w:val="0"/>
              <w:adjustRightInd/>
              <w:snapToGrid/>
              <w:spacing w:line="576" w:lineRule="exact"/>
              <w:jc w:val="both"/>
              <w:rPr>
                <w:rFonts w:hint="default"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企业资质</w:t>
            </w:r>
          </w:p>
        </w:tc>
        <w:tc>
          <w:tcPr>
            <w:tcW w:w="3696" w:type="dxa"/>
          </w:tcPr>
          <w:p w14:paraId="0D35343F">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1.具有独立承担民事责任，提供有效的法人或者其他组织的营业执照等证明文件。资料提供齐金、有效得</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分，不齐全或未提供不得分；</w:t>
            </w:r>
          </w:p>
          <w:p w14:paraId="07D71263">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2.提供企业信用（中国企业信用信息公示系统）报告得</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w:t>
            </w:r>
          </w:p>
          <w:p w14:paraId="798896C0">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3.具有依法缴纳税收和社会保障资金的良好记录，提供近半年任意一个月的纳税凭证(银行出具的缴税凭证或税务机关出具的证明文件，并加盖木单位公章)或免税证明：资料提供齐全，有效得</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分，不齐全或未提供不得分。</w:t>
            </w:r>
          </w:p>
        </w:tc>
        <w:tc>
          <w:tcPr>
            <w:tcW w:w="1596" w:type="dxa"/>
            <w:vAlign w:val="center"/>
          </w:tcPr>
          <w:p w14:paraId="193577F5">
            <w:pPr>
              <w:keepNext w:val="0"/>
              <w:keepLines w:val="0"/>
              <w:pageBreakBefore w:val="0"/>
              <w:kinsoku/>
              <w:wordWrap/>
              <w:overflowPunct/>
              <w:topLinePunct w:val="0"/>
              <w:autoSpaceDE/>
              <w:autoSpaceDN/>
              <w:bidi w:val="0"/>
              <w:adjustRightInd/>
              <w:snapToGrid/>
              <w:spacing w:line="576" w:lineRule="exact"/>
              <w:jc w:val="both"/>
              <w:rPr>
                <w:rFonts w:hint="default"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满分6分</w:t>
            </w:r>
          </w:p>
        </w:tc>
      </w:tr>
      <w:tr w14:paraId="68B1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846" w:type="dxa"/>
            <w:vMerge w:val="continue"/>
            <w:tcBorders/>
            <w:vAlign w:val="center"/>
          </w:tcPr>
          <w:p w14:paraId="363E633B">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p>
        </w:tc>
        <w:tc>
          <w:tcPr>
            <w:tcW w:w="1276" w:type="dxa"/>
            <w:vMerge w:val="continue"/>
            <w:tcBorders/>
            <w:vAlign w:val="center"/>
          </w:tcPr>
          <w:p w14:paraId="17996152">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p>
        </w:tc>
        <w:tc>
          <w:tcPr>
            <w:tcW w:w="1517" w:type="dxa"/>
            <w:vAlign w:val="center"/>
          </w:tcPr>
          <w:p w14:paraId="74B0A90E">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人员配置</w:t>
            </w:r>
          </w:p>
        </w:tc>
        <w:tc>
          <w:tcPr>
            <w:tcW w:w="3696" w:type="dxa"/>
          </w:tcPr>
          <w:p w14:paraId="607B541C">
            <w:pPr>
              <w:keepNext w:val="0"/>
              <w:keepLines w:val="0"/>
              <w:pageBreakBefore w:val="0"/>
              <w:numPr>
                <w:ilvl w:val="0"/>
                <w:numId w:val="1"/>
              </w:numPr>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课题研究</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负责人：具有高级职称得</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分，中级职称得</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w:t>
            </w:r>
          </w:p>
          <w:p w14:paraId="66E7CE03">
            <w:pPr>
              <w:keepNext w:val="0"/>
              <w:keepLines w:val="0"/>
              <w:pageBreakBefore w:val="0"/>
              <w:numPr>
                <w:ilvl w:val="0"/>
                <w:numId w:val="1"/>
              </w:numPr>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团队配置中有教授得3分。</w:t>
            </w:r>
          </w:p>
          <w:p w14:paraId="45D9AC0C">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、除项目负责人以外，团队配置每增加一名高级职称人员得</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分，每增加一名中级职称人员得</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分，本项满分</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w:t>
            </w:r>
          </w:p>
        </w:tc>
        <w:tc>
          <w:tcPr>
            <w:tcW w:w="1596" w:type="dxa"/>
            <w:vAlign w:val="center"/>
          </w:tcPr>
          <w:p w14:paraId="7FE7A977">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满分13分</w:t>
            </w:r>
          </w:p>
        </w:tc>
      </w:tr>
      <w:tr w14:paraId="7B37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846" w:type="dxa"/>
            <w:vMerge w:val="continue"/>
            <w:tcBorders/>
            <w:vAlign w:val="center"/>
          </w:tcPr>
          <w:p w14:paraId="33394542">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p>
        </w:tc>
        <w:tc>
          <w:tcPr>
            <w:tcW w:w="1276" w:type="dxa"/>
            <w:vMerge w:val="continue"/>
            <w:tcBorders/>
          </w:tcPr>
          <w:p w14:paraId="04C8ECEF">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p>
        </w:tc>
        <w:tc>
          <w:tcPr>
            <w:tcW w:w="1517" w:type="dxa"/>
            <w:vAlign w:val="center"/>
          </w:tcPr>
          <w:p w14:paraId="41BAB1E7">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履约能力</w:t>
            </w:r>
          </w:p>
        </w:tc>
        <w:tc>
          <w:tcPr>
            <w:tcW w:w="3696" w:type="dxa"/>
            <w:vAlign w:val="center"/>
          </w:tcPr>
          <w:p w14:paraId="06DDAB03">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供应商提供（202</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年1月起至今）</w:t>
            </w:r>
            <w:r>
              <w:rPr>
                <w:rFonts w:hint="default"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与本项目类似的业绩</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，每提供1项得</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分，最高得</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20</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分；不提供者不得分。注：以加盖公章的业绩合同复印件或扫描件为准，时间以业绩合同签订日期为准。</w:t>
            </w:r>
          </w:p>
        </w:tc>
        <w:tc>
          <w:tcPr>
            <w:tcW w:w="1596" w:type="dxa"/>
            <w:vAlign w:val="center"/>
          </w:tcPr>
          <w:p w14:paraId="4C62ED97">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满分20分</w:t>
            </w:r>
          </w:p>
        </w:tc>
      </w:tr>
      <w:tr w14:paraId="3B76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6" w:type="dxa"/>
            <w:vMerge w:val="continue"/>
            <w:tcBorders/>
            <w:vAlign w:val="center"/>
          </w:tcPr>
          <w:p w14:paraId="4863414C">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p>
        </w:tc>
        <w:tc>
          <w:tcPr>
            <w:tcW w:w="1276" w:type="dxa"/>
            <w:vMerge w:val="continue"/>
            <w:tcBorders/>
          </w:tcPr>
          <w:p w14:paraId="56FA20EE">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p>
        </w:tc>
        <w:tc>
          <w:tcPr>
            <w:tcW w:w="1517" w:type="dxa"/>
            <w:vAlign w:val="center"/>
          </w:tcPr>
          <w:p w14:paraId="58A9A336">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服务响应承诺</w:t>
            </w:r>
          </w:p>
        </w:tc>
        <w:tc>
          <w:tcPr>
            <w:tcW w:w="3696" w:type="dxa"/>
            <w:vAlign w:val="center"/>
          </w:tcPr>
          <w:p w14:paraId="7E6684AB">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供应商提供</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课题研究</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服务时间、编制承诺，</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课题研究</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全过程服务完善，响应时间积极、满足项目需求，有承诺响应时间的得</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分；不提供不得分。</w:t>
            </w:r>
          </w:p>
        </w:tc>
        <w:tc>
          <w:tcPr>
            <w:tcW w:w="1596" w:type="dxa"/>
            <w:vAlign w:val="center"/>
          </w:tcPr>
          <w:p w14:paraId="6580344B">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满分5分</w:t>
            </w:r>
          </w:p>
        </w:tc>
      </w:tr>
      <w:tr w14:paraId="4266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46" w:type="dxa"/>
            <w:vMerge w:val="restart"/>
            <w:vAlign w:val="center"/>
          </w:tcPr>
          <w:p w14:paraId="4AE86436">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2.2</w:t>
            </w:r>
          </w:p>
        </w:tc>
        <w:tc>
          <w:tcPr>
            <w:tcW w:w="1276" w:type="dxa"/>
            <w:vMerge w:val="restart"/>
            <w:vAlign w:val="center"/>
          </w:tcPr>
          <w:p w14:paraId="4E5E198A">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技术部分</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41</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 xml:space="preserve">     </w:t>
            </w:r>
          </w:p>
        </w:tc>
        <w:tc>
          <w:tcPr>
            <w:tcW w:w="1517" w:type="dxa"/>
            <w:vAlign w:val="center"/>
          </w:tcPr>
          <w:p w14:paraId="11F3C042">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服务方案</w:t>
            </w:r>
          </w:p>
        </w:tc>
        <w:tc>
          <w:tcPr>
            <w:tcW w:w="3696" w:type="dxa"/>
            <w:vAlign w:val="center"/>
          </w:tcPr>
          <w:p w14:paraId="22C499D7">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根据方案进行评审，包括但不限于：</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工作流程；</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编制服务的总体思路和部署；</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工作任务与目标；</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质量控制和效率控制；</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保密措施；以上全部内容详细合理、符合项目实际需求的得</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25</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分，每缺少一项或不满足要求的或方案脱离实际的扣4分，每有一项内容存在缺陷或不足的扣</w:t>
            </w:r>
            <w:bookmarkStart w:id="1" w:name="_GoBack"/>
            <w:bookmarkEnd w:id="1"/>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3分，直至扣完为止。</w:t>
            </w:r>
          </w:p>
        </w:tc>
        <w:tc>
          <w:tcPr>
            <w:tcW w:w="1596" w:type="dxa"/>
            <w:vAlign w:val="center"/>
          </w:tcPr>
          <w:p w14:paraId="12DE9EF0">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满分25分</w:t>
            </w:r>
          </w:p>
        </w:tc>
      </w:tr>
      <w:tr w14:paraId="083F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46" w:type="dxa"/>
            <w:vMerge w:val="continue"/>
            <w:vAlign w:val="center"/>
          </w:tcPr>
          <w:p w14:paraId="7E200757">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p>
        </w:tc>
        <w:tc>
          <w:tcPr>
            <w:tcW w:w="1276" w:type="dxa"/>
            <w:vMerge w:val="continue"/>
            <w:vAlign w:val="center"/>
          </w:tcPr>
          <w:p w14:paraId="1FA50D12">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p>
        </w:tc>
        <w:tc>
          <w:tcPr>
            <w:tcW w:w="1517" w:type="dxa"/>
            <w:vAlign w:val="center"/>
          </w:tcPr>
          <w:p w14:paraId="1B2CB48B">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进度计划和保证措施</w:t>
            </w:r>
          </w:p>
        </w:tc>
        <w:tc>
          <w:tcPr>
            <w:tcW w:w="3696" w:type="dxa"/>
            <w:vAlign w:val="center"/>
          </w:tcPr>
          <w:p w14:paraId="4378E80D">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评审</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小组根据供应商针对本项目提供的进度计划和保证措施进行综合评审；包括但不限于：①进度安排计划、②各环节进度保障措施、③与采购人的沟通以及协调等；以上3项内容为专门针对本项目编制，符合本项目实际情况，能够保障项目顺利实施的得9分，缺少一项内容扣3分，每有一项内容存在缺陷扣2分，扣完为止。</w:t>
            </w:r>
          </w:p>
        </w:tc>
        <w:tc>
          <w:tcPr>
            <w:tcW w:w="1596" w:type="dxa"/>
            <w:vAlign w:val="center"/>
          </w:tcPr>
          <w:p w14:paraId="5A9BE7B9">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满分10分</w:t>
            </w:r>
          </w:p>
        </w:tc>
      </w:tr>
      <w:tr w14:paraId="7E04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vMerge w:val="continue"/>
            <w:vAlign w:val="center"/>
          </w:tcPr>
          <w:p w14:paraId="43A38EBD">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p>
        </w:tc>
        <w:tc>
          <w:tcPr>
            <w:tcW w:w="1276" w:type="dxa"/>
            <w:vMerge w:val="continue"/>
            <w:vAlign w:val="center"/>
          </w:tcPr>
          <w:p w14:paraId="5D14B5D1">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p>
        </w:tc>
        <w:tc>
          <w:tcPr>
            <w:tcW w:w="1517" w:type="dxa"/>
            <w:vAlign w:val="center"/>
          </w:tcPr>
          <w:p w14:paraId="50AB39A7">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后续服务方案</w:t>
            </w:r>
          </w:p>
        </w:tc>
        <w:tc>
          <w:tcPr>
            <w:tcW w:w="3696" w:type="dxa"/>
            <w:vAlign w:val="center"/>
          </w:tcPr>
          <w:p w14:paraId="0E615E15">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评审</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小组根据供应商针对本项目提供的后续服务方案进行综合评审；包括但不限于：①后续服务的内容、②后续服务人员组成；③后续服务保证措施等；以上3项内容为专门针对本项目编制，符合本项目实际情况，能够保障项目顺利实施的得6分，缺少一项内容扣2分，每有一项内容存在缺陷扣1分，扣完为止。</w:t>
            </w:r>
          </w:p>
        </w:tc>
        <w:tc>
          <w:tcPr>
            <w:tcW w:w="1596" w:type="dxa"/>
            <w:vAlign w:val="center"/>
          </w:tcPr>
          <w:p w14:paraId="2A825058">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满分6分</w:t>
            </w:r>
          </w:p>
        </w:tc>
      </w:tr>
      <w:tr w14:paraId="613F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68F727F">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2.4</w:t>
            </w:r>
          </w:p>
        </w:tc>
        <w:tc>
          <w:tcPr>
            <w:tcW w:w="2793" w:type="dxa"/>
            <w:gridSpan w:val="2"/>
            <w:vAlign w:val="center"/>
          </w:tcPr>
          <w:p w14:paraId="70A8CC8D">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报价部分评分（</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15</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分）</w:t>
            </w:r>
          </w:p>
        </w:tc>
        <w:tc>
          <w:tcPr>
            <w:tcW w:w="5292" w:type="dxa"/>
            <w:gridSpan w:val="2"/>
          </w:tcPr>
          <w:p w14:paraId="7D4BC9EE">
            <w:pPr>
              <w:keepNext w:val="0"/>
              <w:keepLines w:val="0"/>
              <w:pageBreakBefore w:val="0"/>
              <w:widowControl/>
              <w:numPr>
                <w:ilvl w:val="0"/>
                <w:numId w:val="2"/>
              </w:numPr>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t>采用内插法（先计算评标基准价，再计算偏差率，再上浮下浮扣分）；</w:t>
            </w:r>
          </w:p>
          <w:p w14:paraId="15BCE937">
            <w:pPr>
              <w:pStyle w:val="12"/>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窗体顶端</w:t>
            </w:r>
          </w:p>
          <w:p w14:paraId="66BF33B3">
            <w:pPr>
              <w:keepNext w:val="0"/>
              <w:keepLines w:val="0"/>
              <w:pageBreakBefore w:val="0"/>
              <w:widowControl/>
              <w:numPr>
                <w:ilvl w:val="0"/>
                <w:numId w:val="2"/>
              </w:numPr>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t>评标价 = 投标函中的投标报价 ；</w:t>
            </w:r>
          </w:p>
          <w:p w14:paraId="36EDC5D5">
            <w:pPr>
              <w:keepNext w:val="0"/>
              <w:keepLines w:val="0"/>
              <w:pageBreakBefore w:val="0"/>
              <w:widowControl/>
              <w:numPr>
                <w:ilvl w:val="0"/>
                <w:numId w:val="2"/>
              </w:numPr>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t>基准价=所有有效评标价的平均值；</w:t>
            </w:r>
          </w:p>
          <w:p w14:paraId="3C913ACD">
            <w:pPr>
              <w:keepNext w:val="0"/>
              <w:keepLines w:val="0"/>
              <w:pageBreakBefore w:val="0"/>
              <w:widowControl/>
              <w:numPr>
                <w:ilvl w:val="0"/>
                <w:numId w:val="2"/>
              </w:numPr>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t>平均值：当投标单位家数＜7家时直接计算平均值；当投标单位家数≥7家时去掉一家报价最高值，去掉一家报价最低值，然后计算平均值；</w:t>
            </w:r>
          </w:p>
          <w:p w14:paraId="7628D760">
            <w:pPr>
              <w:pStyle w:val="12"/>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窗体顶端</w:t>
            </w:r>
          </w:p>
          <w:p w14:paraId="0E7E55CB">
            <w:pPr>
              <w:keepNext w:val="0"/>
              <w:keepLines w:val="0"/>
              <w:pageBreakBefore w:val="0"/>
              <w:widowControl/>
              <w:numPr>
                <w:ilvl w:val="0"/>
                <w:numId w:val="2"/>
              </w:numPr>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t xml:space="preserve">偏差率=(投标人的评标价-评标基准价)/评标基准价*100% </w:t>
            </w:r>
          </w:p>
          <w:p w14:paraId="06C91809">
            <w:pPr>
              <w:pStyle w:val="13"/>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窗体底端</w:t>
            </w:r>
          </w:p>
          <w:p w14:paraId="6994282F">
            <w:pPr>
              <w:keepNext w:val="0"/>
              <w:keepLines w:val="0"/>
              <w:pageBreakBefore w:val="0"/>
              <w:widowControl/>
              <w:numPr>
                <w:ilvl w:val="0"/>
                <w:numId w:val="2"/>
              </w:numPr>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t>评标价得分计算公式：</w:t>
            </w:r>
          </w:p>
          <w:p w14:paraId="1810823D">
            <w:pPr>
              <w:keepNext w:val="0"/>
              <w:keepLines w:val="0"/>
              <w:pageBreakBefore w:val="0"/>
              <w:widowControl/>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t>如果投标人的评标价≥评标基准价，则评标价得分=F-偏差率*E1；E1=0.01</w:t>
            </w:r>
          </w:p>
          <w:p w14:paraId="4C91CCEA">
            <w:pPr>
              <w:keepNext w:val="0"/>
              <w:keepLines w:val="0"/>
              <w:pageBreakBefore w:val="0"/>
              <w:widowControl/>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t>如果投标人的评标价＜评标基准价，则评标价得分=F+偏差率*E2；E2=0.01</w:t>
            </w:r>
          </w:p>
          <w:p w14:paraId="6760F0EF">
            <w:pPr>
              <w:keepNext w:val="0"/>
              <w:keepLines w:val="0"/>
              <w:pageBreakBefore w:val="0"/>
              <w:kinsoku/>
              <w:wordWrap/>
              <w:overflowPunct/>
              <w:topLinePunct w:val="0"/>
              <w:autoSpaceDE/>
              <w:autoSpaceDN/>
              <w:bidi w:val="0"/>
              <w:adjustRightInd/>
              <w:snapToGrid/>
              <w:spacing w:line="576" w:lineRule="exact"/>
              <w:jc w:val="both"/>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bidi="ar"/>
                <w14:textFill>
                  <w14:solidFill>
                    <w14:schemeClr w14:val="tx1"/>
                  </w14:solidFill>
                </w14:textFill>
              </w:rPr>
              <w:t>其中F是评标价所占的权重分值，E1是评标价每高于评标基准价一个百分点的扣分值，E2是评标价每低于评标基准价一个百分点的扣分值。</w:t>
            </w:r>
          </w:p>
        </w:tc>
      </w:tr>
      <w:bookmarkEnd w:id="0"/>
    </w:tbl>
    <w:p w14:paraId="4DF123DA">
      <w:pPr>
        <w:keepNext w:val="0"/>
        <w:keepLines w:val="0"/>
        <w:pageBreakBefore w:val="0"/>
        <w:kinsoku/>
        <w:wordWrap/>
        <w:overflowPunct/>
        <w:topLinePunct w:val="0"/>
        <w:autoSpaceDE/>
        <w:autoSpaceDN/>
        <w:bidi w:val="0"/>
        <w:adjustRightInd/>
        <w:snapToGrid/>
        <w:spacing w:line="576" w:lineRule="exact"/>
        <w:jc w:val="both"/>
        <w:rPr>
          <w:rFonts w:hint="default" w:ascii="Times New Roman" w:hAnsi="Times New Roman" w:eastAsia="仿宋_GB2312" w:cs="Times New Roman"/>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06441"/>
    <w:multiLevelType w:val="singleLevel"/>
    <w:tmpl w:val="EDB06441"/>
    <w:lvl w:ilvl="0" w:tentative="0">
      <w:start w:val="1"/>
      <w:numFmt w:val="decimal"/>
      <w:suff w:val="nothing"/>
      <w:lvlText w:val="%1、"/>
      <w:lvlJc w:val="left"/>
    </w:lvl>
  </w:abstractNum>
  <w:abstractNum w:abstractNumId="1">
    <w:nsid w:val="00000011"/>
    <w:multiLevelType w:val="singleLevel"/>
    <w:tmpl w:val="0000001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YTk2MjM4MzE2YjRlMGYzZmFjZTI0MDQ1OWUzN2YifQ=="/>
  </w:docVars>
  <w:rsids>
    <w:rsidRoot w:val="00120B25"/>
    <w:rsid w:val="001111AF"/>
    <w:rsid w:val="00120B25"/>
    <w:rsid w:val="00155447"/>
    <w:rsid w:val="001E3E49"/>
    <w:rsid w:val="002A7B6C"/>
    <w:rsid w:val="00330461"/>
    <w:rsid w:val="00337DBD"/>
    <w:rsid w:val="0038578A"/>
    <w:rsid w:val="003F632E"/>
    <w:rsid w:val="00413679"/>
    <w:rsid w:val="00413A10"/>
    <w:rsid w:val="0041417C"/>
    <w:rsid w:val="00482632"/>
    <w:rsid w:val="00540B99"/>
    <w:rsid w:val="006D2013"/>
    <w:rsid w:val="008531B1"/>
    <w:rsid w:val="00881E65"/>
    <w:rsid w:val="008C47E7"/>
    <w:rsid w:val="00954305"/>
    <w:rsid w:val="00987989"/>
    <w:rsid w:val="00AD60B1"/>
    <w:rsid w:val="00AF0572"/>
    <w:rsid w:val="00B91A19"/>
    <w:rsid w:val="00D221EA"/>
    <w:rsid w:val="00D9473C"/>
    <w:rsid w:val="00DB7914"/>
    <w:rsid w:val="00E61011"/>
    <w:rsid w:val="00E7383B"/>
    <w:rsid w:val="00E7767F"/>
    <w:rsid w:val="00E80CAD"/>
    <w:rsid w:val="00EB6E1B"/>
    <w:rsid w:val="00FA4C58"/>
    <w:rsid w:val="058F34B0"/>
    <w:rsid w:val="0DFEE9CA"/>
    <w:rsid w:val="1057106E"/>
    <w:rsid w:val="11E66092"/>
    <w:rsid w:val="1DFA893E"/>
    <w:rsid w:val="2E7F6821"/>
    <w:rsid w:val="332848FF"/>
    <w:rsid w:val="33B66286"/>
    <w:rsid w:val="33FBCCF0"/>
    <w:rsid w:val="36673C34"/>
    <w:rsid w:val="378325C5"/>
    <w:rsid w:val="39FC78CA"/>
    <w:rsid w:val="3DDB7A17"/>
    <w:rsid w:val="3F7246F8"/>
    <w:rsid w:val="3FDBFF0D"/>
    <w:rsid w:val="4182046A"/>
    <w:rsid w:val="4D53976C"/>
    <w:rsid w:val="4FFED007"/>
    <w:rsid w:val="53E0F545"/>
    <w:rsid w:val="56DFB920"/>
    <w:rsid w:val="5D3FB737"/>
    <w:rsid w:val="5DFF2768"/>
    <w:rsid w:val="5FD6C8F8"/>
    <w:rsid w:val="62C05BCC"/>
    <w:rsid w:val="688D38DD"/>
    <w:rsid w:val="6EFF4CCA"/>
    <w:rsid w:val="6F277902"/>
    <w:rsid w:val="6F8C598F"/>
    <w:rsid w:val="6FBF7FBA"/>
    <w:rsid w:val="6FD10050"/>
    <w:rsid w:val="6FED1F64"/>
    <w:rsid w:val="727D7B57"/>
    <w:rsid w:val="75D315DC"/>
    <w:rsid w:val="777F6745"/>
    <w:rsid w:val="77F731E6"/>
    <w:rsid w:val="77FDDF7B"/>
    <w:rsid w:val="78977B66"/>
    <w:rsid w:val="79775D34"/>
    <w:rsid w:val="79EF980E"/>
    <w:rsid w:val="7AFB258E"/>
    <w:rsid w:val="7BDF58D5"/>
    <w:rsid w:val="7BFDFD4B"/>
    <w:rsid w:val="7CFFB089"/>
    <w:rsid w:val="7CFFF885"/>
    <w:rsid w:val="7D5FBA87"/>
    <w:rsid w:val="7DEF4EA0"/>
    <w:rsid w:val="7E89B650"/>
    <w:rsid w:val="7E8F908D"/>
    <w:rsid w:val="7EFF14E4"/>
    <w:rsid w:val="7FBFDD3D"/>
    <w:rsid w:val="7FCEC2E3"/>
    <w:rsid w:val="7FEB2C36"/>
    <w:rsid w:val="7FF4475C"/>
    <w:rsid w:val="7FF9114F"/>
    <w:rsid w:val="7FFD9EA7"/>
    <w:rsid w:val="9BDF9D82"/>
    <w:rsid w:val="AF3D9AC8"/>
    <w:rsid w:val="BE2FD6C4"/>
    <w:rsid w:val="CFAFE0CF"/>
    <w:rsid w:val="DAFB0DC4"/>
    <w:rsid w:val="DFB718D9"/>
    <w:rsid w:val="DFFFDEAF"/>
    <w:rsid w:val="E7B6E3EF"/>
    <w:rsid w:val="E9BAFCB7"/>
    <w:rsid w:val="EAFF307A"/>
    <w:rsid w:val="EBF915A1"/>
    <w:rsid w:val="EF4B6B42"/>
    <w:rsid w:val="EF6371BA"/>
    <w:rsid w:val="EFF362C9"/>
    <w:rsid w:val="F1F8536B"/>
    <w:rsid w:val="F3FE67F2"/>
    <w:rsid w:val="F6D725D5"/>
    <w:rsid w:val="F6FE94D2"/>
    <w:rsid w:val="F7DBC545"/>
    <w:rsid w:val="F93C21A1"/>
    <w:rsid w:val="FA955FDB"/>
    <w:rsid w:val="FB7B89C6"/>
    <w:rsid w:val="FBD7F198"/>
    <w:rsid w:val="FC9F035D"/>
    <w:rsid w:val="FEFF147C"/>
    <w:rsid w:val="FF3F1BAE"/>
    <w:rsid w:val="FF6D29CF"/>
    <w:rsid w:val="FFBEC3DE"/>
    <w:rsid w:val="FFDFF934"/>
    <w:rsid w:val="FFFDE146"/>
    <w:rsid w:val="FFFFC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fontstyle01"/>
    <w:basedOn w:val="8"/>
    <w:qFormat/>
    <w:uiPriority w:val="0"/>
    <w:rPr>
      <w:rFonts w:hint="eastAsia" w:ascii="宋体" w:hAnsi="宋体" w:eastAsia="宋体"/>
      <w:color w:val="000000"/>
      <w:sz w:val="24"/>
      <w:szCs w:val="24"/>
    </w:rPr>
  </w:style>
  <w:style w:type="paragraph" w:customStyle="1" w:styleId="12">
    <w:name w:val="_Style 2"/>
    <w:basedOn w:val="1"/>
    <w:next w:val="1"/>
    <w:qFormat/>
    <w:uiPriority w:val="0"/>
    <w:pPr>
      <w:pBdr>
        <w:bottom w:val="single" w:color="auto" w:sz="6" w:space="1"/>
      </w:pBdr>
      <w:jc w:val="center"/>
    </w:pPr>
    <w:rPr>
      <w:rFonts w:ascii="Arial" w:hAnsi="Times New Roman" w:eastAsia="宋体" w:cs="Times New Roman"/>
      <w:vanish/>
      <w:sz w:val="16"/>
      <w:szCs w:val="24"/>
    </w:rPr>
  </w:style>
  <w:style w:type="paragraph" w:customStyle="1" w:styleId="13">
    <w:name w:val="_Style 3"/>
    <w:basedOn w:val="1"/>
    <w:next w:val="1"/>
    <w:qFormat/>
    <w:uiPriority w:val="0"/>
    <w:pPr>
      <w:pBdr>
        <w:top w:val="single" w:color="auto" w:sz="6" w:space="1"/>
      </w:pBdr>
      <w:jc w:val="center"/>
    </w:pPr>
    <w:rPr>
      <w:rFonts w:ascii="Arial" w:hAnsi="Times New Roman" w:eastAsia="宋体" w:cs="Times New Roman"/>
      <w:vanish/>
      <w:sz w:val="16"/>
      <w:szCs w:val="24"/>
    </w:rPr>
  </w:style>
  <w:style w:type="character" w:customStyle="1" w:styleId="14">
    <w:name w:val="标题 1 字符"/>
    <w:basedOn w:val="8"/>
    <w:link w:val="2"/>
    <w:qFormat/>
    <w:uiPriority w:val="9"/>
    <w:rPr>
      <w:rFonts w:ascii="宋体" w:hAnsi="宋体" w:eastAsia="宋体" w:cs="宋体"/>
      <w:b/>
      <w:bCs/>
      <w:kern w:val="36"/>
      <w:sz w:val="48"/>
      <w:szCs w:val="4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1843</Words>
  <Characters>1900</Characters>
  <Lines>22</Lines>
  <Paragraphs>6</Paragraphs>
  <TotalTime>4165</TotalTime>
  <ScaleCrop>false</ScaleCrop>
  <LinksUpToDate>false</LinksUpToDate>
  <CharactersWithSpaces>1909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2024-06-28T09:47:00Z</dcterms:created>
  <dc:creator>kang sun</dc:creator>
  <cp:lastModifiedBy>镫鐙</cp:lastModifiedBy>
  <cp:lastPrinted>2025-11-03T02:40:56Z</cp:lastPrinted>
  <dcterms:modified xsi:type="dcterms:W3CDTF">2025-11-05T10:09:31Z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0A2129ED09AC49C387F4B42BE48D1D47_13</vt:lpwstr>
  </property>
  <property fmtid="{D5CDD505-2E9C-101B-9397-08002B2CF9AE}" pid="4" name="KSOTemplateDocerSaveRecord">
    <vt:lpwstr>eyJoZGlkIjoiMTVmYjdhODRlYzQzZGY1ZmE1ODZjNjc2MDNmY2NkMmEiLCJ1c2VySWQiOiIyNTU4MzY2ODEifQ==</vt:lpwstr>
  </property>
</Properties>
</file>