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eastAsia" w:ascii="Times New Roman" w:hAnsi="Times New Roman" w:eastAsia="方正仿宋_GBK" w:cs="Times New Roman"/>
          <w:b/>
          <w:bCs/>
          <w:sz w:val="32"/>
          <w:szCs w:val="32"/>
          <w:lang w:val="en-US" w:eastAsia="zh-CN"/>
        </w:rPr>
      </w:pPr>
      <w:bookmarkStart w:id="0" w:name="_GoBack"/>
      <w:bookmarkEnd w:id="0"/>
      <w:r>
        <w:rPr>
          <w:rFonts w:hint="eastAsia" w:ascii="Times New Roman" w:hAnsi="Times New Roman" w:eastAsia="方正仿宋_GBK" w:cs="Times New Roman"/>
          <w:b/>
          <w:bCs/>
          <w:sz w:val="32"/>
          <w:szCs w:val="32"/>
          <w:lang w:val="en-US" w:eastAsia="zh-CN"/>
        </w:rPr>
        <w:t>附件：综合评分标准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96"/>
        <w:gridCol w:w="520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168" w:type="dxa"/>
            <w:gridSpan w:val="3"/>
            <w:vAlign w:val="center"/>
          </w:tcPr>
          <w:p>
            <w:pPr>
              <w:widowControl w:val="0"/>
              <w:spacing w:before="1" w:line="222" w:lineRule="auto"/>
              <w:jc w:val="center"/>
              <w:rPr>
                <w:rFonts w:ascii="宋体" w:hAnsi="宋体" w:eastAsia="宋体" w:cs="宋体"/>
                <w:color w:val="000000" w:themeColor="text1"/>
                <w:spacing w:val="-7"/>
                <w:sz w:val="22"/>
                <w:szCs w:val="22"/>
                <w:highlight w:val="none"/>
                <w:vertAlign w:val="baseline"/>
                <w14:textFill>
                  <w14:solidFill>
                    <w14:schemeClr w14:val="tx1"/>
                  </w14:solidFill>
                </w14:textFill>
              </w:rPr>
            </w:pPr>
            <w:r>
              <w:rPr>
                <w:color w:val="000000" w:themeColor="text1"/>
                <w:spacing w:val="14"/>
                <w:sz w:val="22"/>
                <w:szCs w:val="22"/>
                <w:highlight w:val="none"/>
                <w14:textFill>
                  <w14:solidFill>
                    <w14:schemeClr w14:val="tx1"/>
                  </w14:solidFill>
                </w14:textFill>
              </w:rPr>
              <w:t>评审因素</w:t>
            </w:r>
          </w:p>
        </w:tc>
        <w:tc>
          <w:tcPr>
            <w:tcW w:w="1279" w:type="dxa"/>
            <w:vAlign w:val="center"/>
          </w:tcPr>
          <w:p>
            <w:pPr>
              <w:widowControl w:val="0"/>
              <w:spacing w:before="1" w:line="222" w:lineRule="auto"/>
              <w:jc w:val="center"/>
              <w:rPr>
                <w:rFonts w:ascii="宋体" w:hAnsi="宋体" w:eastAsia="宋体" w:cs="宋体"/>
                <w:color w:val="000000" w:themeColor="text1"/>
                <w:spacing w:val="-7"/>
                <w:sz w:val="22"/>
                <w:szCs w:val="22"/>
                <w:highlight w:val="none"/>
                <w:vertAlign w:val="baseline"/>
                <w14:textFill>
                  <w14:solidFill>
                    <w14:schemeClr w14:val="tx1"/>
                  </w14:solidFill>
                </w14:textFill>
              </w:rPr>
            </w:pPr>
            <w:r>
              <w:rPr>
                <w:color w:val="000000" w:themeColor="text1"/>
                <w:spacing w:val="14"/>
                <w:sz w:val="22"/>
                <w:szCs w:val="22"/>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168" w:type="dxa"/>
            <w:gridSpan w:val="3"/>
            <w:vAlign w:val="center"/>
          </w:tcPr>
          <w:p>
            <w:pPr>
              <w:widowControl w:val="0"/>
              <w:spacing w:before="1" w:line="222" w:lineRule="auto"/>
              <w:jc w:val="center"/>
              <w:rPr>
                <w:rFonts w:ascii="宋体" w:hAnsi="宋体" w:eastAsia="宋体" w:cs="宋体"/>
                <w:color w:val="000000" w:themeColor="text1"/>
                <w:spacing w:val="-7"/>
                <w:sz w:val="22"/>
                <w:szCs w:val="22"/>
                <w:highlight w:val="none"/>
                <w:vertAlign w:val="baseline"/>
                <w14:textFill>
                  <w14:solidFill>
                    <w14:schemeClr w14:val="tx1"/>
                  </w14:solidFill>
                </w14:textFill>
              </w:rPr>
            </w:pPr>
            <w:r>
              <w:rPr>
                <w:color w:val="000000" w:themeColor="text1"/>
                <w:spacing w:val="13"/>
                <w:sz w:val="22"/>
                <w:szCs w:val="22"/>
                <w:highlight w:val="none"/>
                <w14:textFill>
                  <w14:solidFill>
                    <w14:schemeClr w14:val="tx1"/>
                  </w14:solidFill>
                </w14:textFill>
              </w:rPr>
              <w:t>分值构成</w:t>
            </w:r>
          </w:p>
        </w:tc>
        <w:tc>
          <w:tcPr>
            <w:tcW w:w="1279" w:type="dxa"/>
            <w:vAlign w:val="center"/>
          </w:tcPr>
          <w:p>
            <w:pPr>
              <w:widowControl w:val="0"/>
              <w:spacing w:before="1" w:line="222" w:lineRule="auto"/>
              <w:jc w:val="center"/>
              <w:rPr>
                <w:rFonts w:ascii="宋体" w:hAnsi="宋体" w:eastAsia="宋体" w:cs="宋体"/>
                <w:color w:val="000000" w:themeColor="text1"/>
                <w:spacing w:val="-7"/>
                <w:sz w:val="22"/>
                <w:szCs w:val="22"/>
                <w:highlight w:val="none"/>
                <w:vertAlign w:val="baseline"/>
                <w14:textFill>
                  <w14:solidFill>
                    <w14:schemeClr w14:val="tx1"/>
                  </w14:solidFill>
                </w14:textFill>
              </w:rPr>
            </w:pPr>
            <w: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72" w:type="dxa"/>
            <w:vAlign w:val="center"/>
          </w:tcPr>
          <w:p>
            <w:pPr>
              <w:pStyle w:val="8"/>
              <w:widowControl w:val="0"/>
              <w:spacing w:before="125" w:line="471" w:lineRule="exact"/>
              <w:jc w:val="cente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pPr>
            <w: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t>评审因素分类</w:t>
            </w:r>
          </w:p>
        </w:tc>
        <w:tc>
          <w:tcPr>
            <w:tcW w:w="996" w:type="dxa"/>
            <w:vAlign w:val="center"/>
          </w:tcPr>
          <w:p>
            <w:pPr>
              <w:pStyle w:val="8"/>
              <w:widowControl w:val="0"/>
              <w:spacing w:before="125" w:line="471" w:lineRule="exact"/>
              <w:jc w:val="cente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pPr>
            <w: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t>评审项</w:t>
            </w:r>
          </w:p>
        </w:tc>
        <w:tc>
          <w:tcPr>
            <w:tcW w:w="5200" w:type="dxa"/>
            <w:vAlign w:val="center"/>
          </w:tcPr>
          <w:p>
            <w:pPr>
              <w:pStyle w:val="8"/>
              <w:widowControl w:val="0"/>
              <w:spacing w:before="125" w:line="471" w:lineRule="exact"/>
              <w:jc w:val="cente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pPr>
            <w: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t>详细描述</w:t>
            </w:r>
          </w:p>
        </w:tc>
        <w:tc>
          <w:tcPr>
            <w:tcW w:w="1279" w:type="dxa"/>
            <w:vAlign w:val="center"/>
          </w:tcPr>
          <w:p>
            <w:pPr>
              <w:pStyle w:val="8"/>
              <w:widowControl w:val="0"/>
              <w:spacing w:before="125" w:line="471" w:lineRule="exact"/>
              <w:jc w:val="center"/>
              <w:rPr>
                <w:rFonts w:hint="eastAsia" w:ascii="宋体" w:hAnsi="宋体" w:eastAsia="宋体" w:cs="宋体"/>
                <w:color w:val="000000" w:themeColor="text1"/>
                <w:spacing w:val="10"/>
                <w:position w:val="18"/>
                <w:sz w:val="22"/>
                <w:szCs w:val="22"/>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72" w:type="dxa"/>
            <w:vMerge w:val="restart"/>
            <w:vAlign w:val="center"/>
          </w:tcPr>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471" w:lineRule="exact"/>
              <w:jc w:val="center"/>
              <w:rPr>
                <w:rFonts w:hint="eastAsia"/>
                <w:color w:val="000000" w:themeColor="text1"/>
                <w:spacing w:val="1"/>
                <w:position w:val="18"/>
                <w:highlight w:val="none"/>
                <w:lang w:eastAsia="zh-CN"/>
                <w14:textFill>
                  <w14:solidFill>
                    <w14:schemeClr w14:val="tx1"/>
                  </w14:solidFill>
                </w14:textFill>
              </w:rPr>
            </w:pPr>
          </w:p>
          <w:p>
            <w:pPr>
              <w:pStyle w:val="8"/>
              <w:widowControl w:val="0"/>
              <w:spacing w:before="125" w:line="360" w:lineRule="auto"/>
              <w:jc w:val="center"/>
              <w:rPr>
                <w:rFonts w:hint="eastAsia" w:ascii="宋体" w:hAnsi="宋体" w:eastAsia="宋体" w:cs="宋体"/>
                <w:color w:val="000000" w:themeColor="text1"/>
                <w:spacing w:val="-7"/>
                <w:sz w:val="23"/>
                <w:szCs w:val="23"/>
                <w:highlight w:val="none"/>
                <w:vertAlign w:val="baseline"/>
                <w:lang w:eastAsia="zh-CN"/>
                <w14:textFill>
                  <w14:solidFill>
                    <w14:schemeClr w14:val="tx1"/>
                  </w14:solidFill>
                </w14:textFill>
              </w:rPr>
            </w:pPr>
            <w:r>
              <w:rPr>
                <w:rFonts w:hint="eastAsia"/>
                <w:color w:val="000000" w:themeColor="text1"/>
                <w:spacing w:val="1"/>
                <w:position w:val="18"/>
                <w:highlight w:val="none"/>
                <w:lang w:eastAsia="zh-CN"/>
                <w14:textFill>
                  <w14:solidFill>
                    <w14:schemeClr w14:val="tx1"/>
                  </w14:solidFill>
                </w14:textFill>
              </w:rPr>
              <w:t>详细评审</w:t>
            </w:r>
          </w:p>
        </w:tc>
        <w:tc>
          <w:tcPr>
            <w:tcW w:w="996" w:type="dxa"/>
            <w:vAlign w:val="center"/>
          </w:tcPr>
          <w:p>
            <w:pPr>
              <w:widowControl w:val="0"/>
              <w:spacing w:before="1" w:line="222" w:lineRule="auto"/>
              <w:jc w:val="center"/>
              <w:rPr>
                <w:rFonts w:ascii="宋体" w:hAnsi="宋体" w:eastAsia="宋体" w:cs="宋体"/>
                <w:color w:val="000000" w:themeColor="text1"/>
                <w:spacing w:val="-7"/>
                <w:sz w:val="23"/>
                <w:szCs w:val="23"/>
                <w:highlight w:val="none"/>
                <w:vertAlign w:val="baseli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服务方案</w:t>
            </w:r>
          </w:p>
        </w:tc>
        <w:tc>
          <w:tcPr>
            <w:tcW w:w="5200" w:type="dxa"/>
            <w:vAlign w:val="center"/>
          </w:tcPr>
          <w:p>
            <w:pPr>
              <w:widowControl w:val="0"/>
              <w:spacing w:before="1" w:line="222" w:lineRule="auto"/>
              <w:jc w:val="left"/>
              <w:rPr>
                <w:rFonts w:hint="default"/>
                <w:lang w:val="en-US"/>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根据供应商针对本项目提供的服务方案(应包含但不限于  ①项目重难点分析、②服务内容、③工作进度安排、④工作目标、⑤工作依据、⑥组织机构与人员、⑦项目过程管理制度、⑧廉政保密制度、⑨后勤及安全保障</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1"/>
                <w:szCs w:val="21"/>
                <w:highlight w:val="none"/>
                <w:lang w:val="en-US" w:eastAsia="zh-CN"/>
                <w14:textFill>
                  <w14:solidFill>
                    <w14:schemeClr w14:val="tx1"/>
                  </w14:solidFill>
                </w14:textFill>
              </w:rPr>
              <w:instrText xml:space="preserve"> = 10 \* GB3 \* MERGEFORMAT </w:instrTex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⑩</w:t>
            </w:r>
            <w:r>
              <w:rPr>
                <w:rFonts w:hint="eastAsia" w:ascii="宋体" w:hAnsi="宋体" w:eastAsia="宋体" w:cs="宋体"/>
                <w:color w:val="000000" w:themeColor="text1"/>
                <w:sz w:val="21"/>
                <w:szCs w:val="21"/>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售后服务承诺进行综合评分</w:t>
            </w:r>
            <w:r>
              <w:rPr>
                <w:rFonts w:hint="eastAsia" w:hAnsi="宋体" w:eastAsia="宋体" w:cs="宋体"/>
                <w:color w:val="000000" w:themeColor="text1"/>
                <w:sz w:val="21"/>
                <w:szCs w:val="21"/>
                <w:highlight w:val="none"/>
                <w:lang w:val="en-US" w:eastAsia="zh-CN"/>
                <w14:textFill>
                  <w14:solidFill>
                    <w14:schemeClr w14:val="tx1"/>
                  </w14:solidFill>
                </w14:textFill>
              </w:rPr>
              <w:t>。方案应满足采购文件的基本要求，方案内容详细、要素齐全、描述清晰且完全符合项目需求得</w:t>
            </w:r>
            <w:r>
              <w:rPr>
                <w:rFonts w:hint="eastAsia" w:hAnsi="宋体" w:cs="宋体"/>
                <w:color w:val="000000" w:themeColor="text1"/>
                <w:sz w:val="21"/>
                <w:szCs w:val="21"/>
                <w:highlight w:val="none"/>
                <w:lang w:val="en-US" w:eastAsia="zh-CN"/>
                <w14:textFill>
                  <w14:solidFill>
                    <w14:schemeClr w14:val="tx1"/>
                  </w14:solidFill>
                </w14:textFill>
              </w:rPr>
              <w:t>40</w:t>
            </w:r>
            <w:r>
              <w:rPr>
                <w:rFonts w:hint="eastAsia" w:hAnsi="宋体" w:eastAsia="宋体" w:cs="宋体"/>
                <w:color w:val="000000" w:themeColor="text1"/>
                <w:sz w:val="21"/>
                <w:szCs w:val="21"/>
                <w:highlight w:val="none"/>
                <w:lang w:val="en-US" w:eastAsia="zh-CN"/>
                <w14:textFill>
                  <w14:solidFill>
                    <w14:schemeClr w14:val="tx1"/>
                  </w14:solidFill>
                </w14:textFill>
              </w:rPr>
              <w:t>分。方案每缺少一项扣</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hAnsi="宋体" w:eastAsia="宋体" w:cs="宋体"/>
                <w:color w:val="000000" w:themeColor="text1"/>
                <w:sz w:val="21"/>
                <w:szCs w:val="21"/>
                <w:highlight w:val="none"/>
                <w:lang w:val="en-US" w:eastAsia="zh-CN"/>
                <w14:textFill>
                  <w14:solidFill>
                    <w14:schemeClr w14:val="tx1"/>
                  </w14:solidFill>
                </w14:textFill>
              </w:rPr>
              <w:t>分，每有一处存在内容阐述不完整或凭空编造或存在不可能实现的夸大情形或提供内容与项目无关或项目名称不符或方案内容与该项目技术、服务、商务及其他要求不一致等情形的内容描述扣</w:t>
            </w:r>
            <w:r>
              <w:rPr>
                <w:rFonts w:hint="eastAsia" w:hAnsi="宋体" w:cs="宋体"/>
                <w:color w:val="000000" w:themeColor="text1"/>
                <w:sz w:val="21"/>
                <w:szCs w:val="21"/>
                <w:highlight w:val="none"/>
                <w:lang w:val="en-US" w:eastAsia="zh-CN"/>
                <w14:textFill>
                  <w14:solidFill>
                    <w14:schemeClr w14:val="tx1"/>
                  </w14:solidFill>
                </w14:textFill>
              </w:rPr>
              <w:t>2</w:t>
            </w:r>
            <w:r>
              <w:rPr>
                <w:rFonts w:hint="eastAsia" w:hAnsi="宋体" w:eastAsia="宋体" w:cs="宋体"/>
                <w:color w:val="000000" w:themeColor="text1"/>
                <w:sz w:val="21"/>
                <w:szCs w:val="21"/>
                <w:highlight w:val="none"/>
                <w:lang w:val="en-US" w:eastAsia="zh-CN"/>
                <w14:textFill>
                  <w14:solidFill>
                    <w14:schemeClr w14:val="tx1"/>
                  </w14:solidFill>
                </w14:textFill>
              </w:rPr>
              <w:t>分，扣完为止。</w:t>
            </w:r>
            <w:r>
              <w:rPr>
                <w:rFonts w:hint="eastAsia" w:hAnsi="宋体" w:cs="宋体"/>
                <w:color w:val="000000" w:themeColor="text1"/>
                <w:sz w:val="21"/>
                <w:szCs w:val="21"/>
                <w:highlight w:val="none"/>
                <w:lang w:val="en-US" w:eastAsia="zh-CN"/>
                <w14:textFill>
                  <w14:solidFill>
                    <w14:schemeClr w14:val="tx1"/>
                  </w14:solidFill>
                </w14:textFill>
              </w:rPr>
              <w:t>（40分）</w:t>
            </w:r>
          </w:p>
        </w:tc>
        <w:tc>
          <w:tcPr>
            <w:tcW w:w="1279" w:type="dxa"/>
            <w:vAlign w:val="center"/>
          </w:tcPr>
          <w:p>
            <w:pPr>
              <w:widowControl w:val="0"/>
              <w:spacing w:before="1" w:line="222" w:lineRule="auto"/>
              <w:jc w:val="center"/>
              <w:rPr>
                <w:rFonts w:hint="eastAsia" w:ascii="宋体" w:hAnsi="宋体" w:eastAsia="宋体" w:cs="宋体"/>
                <w:color w:val="000000" w:themeColor="text1"/>
                <w:spacing w:val="-7"/>
                <w:sz w:val="23"/>
                <w:szCs w:val="23"/>
                <w:highlight w:val="none"/>
                <w:vertAlign w:val="baseline"/>
                <w:lang w:eastAsia="zh-CN"/>
                <w14:textFill>
                  <w14:solidFill>
                    <w14:schemeClr w14:val="tx1"/>
                  </w14:solidFill>
                </w14:textFill>
              </w:rPr>
            </w:pPr>
            <w:r>
              <w:rPr>
                <w:rFonts w:hint="eastAsia" w:hAnsi="宋体" w:cs="宋体"/>
                <w:color w:val="000000" w:themeColor="text1"/>
                <w:spacing w:val="-7"/>
                <w:sz w:val="23"/>
                <w:szCs w:val="23"/>
                <w:highlight w:val="none"/>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972" w:type="dxa"/>
            <w:vMerge w:val="continue"/>
            <w:vAlign w:val="center"/>
          </w:tcPr>
          <w:p>
            <w:pPr>
              <w:widowControl w:val="0"/>
              <w:spacing w:before="1" w:line="222" w:lineRule="auto"/>
              <w:jc w:val="center"/>
              <w:rPr>
                <w:rFonts w:ascii="宋体" w:hAnsi="宋体" w:eastAsia="宋体" w:cs="宋体"/>
                <w:color w:val="000000" w:themeColor="text1"/>
                <w:spacing w:val="-7"/>
                <w:sz w:val="23"/>
                <w:szCs w:val="23"/>
                <w:highlight w:val="none"/>
                <w:vertAlign w:val="baseline"/>
                <w14:textFill>
                  <w14:solidFill>
                    <w14:schemeClr w14:val="tx1"/>
                  </w14:solidFill>
                </w14:textFill>
              </w:rPr>
            </w:pPr>
          </w:p>
        </w:tc>
        <w:tc>
          <w:tcPr>
            <w:tcW w:w="996" w:type="dxa"/>
            <w:vAlign w:val="center"/>
          </w:tcPr>
          <w:p>
            <w:pPr>
              <w:widowControl w:val="0"/>
              <w:spacing w:before="1" w:line="222" w:lineRule="auto"/>
              <w:jc w:val="center"/>
              <w:rPr>
                <w:rFonts w:hint="default" w:ascii="宋体" w:hAnsi="宋体" w:eastAsia="宋体" w:cs="宋体"/>
                <w:color w:val="000000" w:themeColor="text1"/>
                <w:spacing w:val="-7"/>
                <w:sz w:val="23"/>
                <w:szCs w:val="23"/>
                <w:highlight w:val="none"/>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业绩</w:t>
            </w:r>
            <w:r>
              <w:rPr>
                <w:rFonts w:hint="eastAsia" w:hAnsi="宋体" w:cs="宋体"/>
                <w:color w:val="000000" w:themeColor="text1"/>
                <w:sz w:val="24"/>
                <w:szCs w:val="24"/>
                <w:highlight w:val="none"/>
                <w:lang w:val="en-US" w:eastAsia="zh-CN" w:bidi="ar-SA"/>
                <w14:textFill>
                  <w14:solidFill>
                    <w14:schemeClr w14:val="tx1"/>
                  </w14:solidFill>
                </w14:textFill>
              </w:rPr>
              <w:t>与履约能力</w:t>
            </w:r>
          </w:p>
        </w:tc>
        <w:tc>
          <w:tcPr>
            <w:tcW w:w="5200" w:type="dxa"/>
            <w:vAlign w:val="center"/>
          </w:tcPr>
          <w:p>
            <w:pPr>
              <w:widowControl w:val="0"/>
              <w:spacing w:line="240" w:lineRule="auto"/>
              <w:ind w:firstLine="0" w:firstLineChars="0"/>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供应商承担过类似项目业绩，每提供一项得</w:t>
            </w:r>
            <w:r>
              <w:rPr>
                <w:rFonts w:hint="eastAsia" w:hAnsi="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分，最高得1</w:t>
            </w:r>
            <w:r>
              <w:rPr>
                <w:rFonts w:hint="eastAsia"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w:t>
            </w:r>
          </w:p>
          <w:p>
            <w:pPr>
              <w:widowControl w:val="0"/>
              <w:spacing w:line="240" w:lineRule="auto"/>
              <w:ind w:firstLine="0" w:firstLineChars="0"/>
              <w:jc w:val="left"/>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类似项目业绩是指：</w:t>
            </w:r>
            <w:r>
              <w:rPr>
                <w:rFonts w:hint="eastAsia" w:hAnsi="宋体" w:cs="宋体"/>
                <w:color w:val="000000" w:themeColor="text1"/>
                <w:sz w:val="21"/>
                <w:szCs w:val="21"/>
                <w:highlight w:val="none"/>
                <w:lang w:val="en-US" w:eastAsia="zh-CN" w:bidi="ar-SA"/>
                <w14:textFill>
                  <w14:solidFill>
                    <w14:schemeClr w14:val="tx1"/>
                  </w14:solidFill>
                </w14:textFill>
              </w:rPr>
              <w:t>供应商开展过针对西藏地区的第三方技术服务，每一项得2分，最高16分。（16分）</w:t>
            </w:r>
          </w:p>
          <w:p>
            <w:pPr>
              <w:widowControl w:val="0"/>
              <w:spacing w:before="1" w:line="222" w:lineRule="auto"/>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注：业绩证明材料是指合同复印件或中标通知书，未提供业绩证明材料的项目不得分</w:t>
            </w:r>
            <w:r>
              <w:rPr>
                <w:rFonts w:hint="eastAsia" w:hAnsi="宋体" w:cs="宋体"/>
                <w:color w:val="000000" w:themeColor="text1"/>
                <w:sz w:val="21"/>
                <w:szCs w:val="21"/>
                <w:highlight w:val="none"/>
                <w:lang w:val="en-US" w:eastAsia="zh-CN" w:bidi="ar-SA"/>
                <w14:textFill>
                  <w14:solidFill>
                    <w14:schemeClr w14:val="tx1"/>
                  </w14:solidFill>
                </w14:textFill>
              </w:rPr>
              <w:t>，不易证明的酌情给分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w:t>
            </w:r>
          </w:p>
          <w:p>
            <w:pPr>
              <w:pStyle w:val="3"/>
              <w:widowControl w:val="0"/>
              <w:tabs>
                <w:tab w:val="left" w:pos="600"/>
              </w:tabs>
              <w:spacing w:line="240" w:lineRule="auto"/>
              <w:ind w:left="0" w:leftChars="0" w:firstLine="0" w:firstLineChars="0"/>
              <w:jc w:val="left"/>
            </w:pPr>
          </w:p>
        </w:tc>
        <w:tc>
          <w:tcPr>
            <w:tcW w:w="1279" w:type="dxa"/>
            <w:vAlign w:val="center"/>
          </w:tcPr>
          <w:p>
            <w:pPr>
              <w:widowControl w:val="0"/>
              <w:spacing w:before="1" w:line="222" w:lineRule="auto"/>
              <w:jc w:val="center"/>
              <w:rPr>
                <w:rFonts w:hint="default" w:ascii="宋体" w:hAnsi="宋体" w:eastAsia="宋体" w:cs="宋体"/>
                <w:color w:val="000000" w:themeColor="text1"/>
                <w:spacing w:val="-7"/>
                <w:sz w:val="23"/>
                <w:szCs w:val="23"/>
                <w:highlight w:val="none"/>
                <w:vertAlign w:val="baseline"/>
                <w:lang w:val="en-US"/>
                <w14:textFill>
                  <w14:solidFill>
                    <w14:schemeClr w14:val="tx1"/>
                  </w14:solidFill>
                </w14:textFill>
              </w:rPr>
            </w:pPr>
            <w:r>
              <w:rPr>
                <w:rFonts w:hint="eastAsia" w:hAnsi="宋体" w:cs="宋体"/>
                <w:color w:val="000000" w:themeColor="text1"/>
                <w:spacing w:val="-7"/>
                <w:sz w:val="23"/>
                <w:szCs w:val="23"/>
                <w:highlight w:val="none"/>
                <w:vertAlign w:val="baseline"/>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972" w:type="dxa"/>
            <w:vMerge w:val="continue"/>
            <w:vAlign w:val="center"/>
          </w:tcPr>
          <w:p>
            <w:pPr>
              <w:widowControl w:val="0"/>
              <w:spacing w:before="1" w:line="222" w:lineRule="auto"/>
              <w:jc w:val="center"/>
              <w:rPr>
                <w:rFonts w:ascii="宋体" w:hAnsi="宋体" w:eastAsia="宋体" w:cs="宋体"/>
                <w:color w:val="000000" w:themeColor="text1"/>
                <w:spacing w:val="-7"/>
                <w:sz w:val="23"/>
                <w:szCs w:val="23"/>
                <w:highlight w:val="none"/>
                <w:vertAlign w:val="baseline"/>
                <w14:textFill>
                  <w14:solidFill>
                    <w14:schemeClr w14:val="tx1"/>
                  </w14:solidFill>
                </w14:textFill>
              </w:rPr>
            </w:pPr>
          </w:p>
        </w:tc>
        <w:tc>
          <w:tcPr>
            <w:tcW w:w="996" w:type="dxa"/>
            <w:vAlign w:val="center"/>
          </w:tcPr>
          <w:p>
            <w:pPr>
              <w:widowControl w:val="0"/>
              <w:spacing w:before="1" w:line="222" w:lineRule="auto"/>
              <w:jc w:val="center"/>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hAnsi="宋体" w:cs="宋体"/>
                <w:color w:val="000000" w:themeColor="text1"/>
                <w:sz w:val="24"/>
                <w:szCs w:val="24"/>
                <w:highlight w:val="none"/>
                <w:lang w:val="en-US" w:eastAsia="zh-CN" w:bidi="ar-SA"/>
                <w14:textFill>
                  <w14:solidFill>
                    <w14:schemeClr w14:val="tx1"/>
                  </w14:solidFill>
                </w14:textFill>
              </w:rPr>
              <w:t>企业荣誉</w:t>
            </w:r>
          </w:p>
        </w:tc>
        <w:tc>
          <w:tcPr>
            <w:tcW w:w="5200" w:type="dxa"/>
            <w:vAlign w:val="center"/>
          </w:tcPr>
          <w:p>
            <w:pPr>
              <w:pStyle w:val="3"/>
              <w:widowControl w:val="0"/>
              <w:tabs>
                <w:tab w:val="left" w:pos="600"/>
              </w:tabs>
              <w:spacing w:line="240" w:lineRule="auto"/>
              <w:ind w:left="0" w:leftChars="0" w:firstLine="0" w:firstLineChars="0"/>
              <w:jc w:val="left"/>
              <w:rPr>
                <w:rStyle w:val="9"/>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Style w:val="9"/>
                <w:rFonts w:hint="eastAsia" w:ascii="宋体" w:hAnsi="宋体" w:eastAsia="宋体" w:cs="宋体"/>
                <w:bCs w:val="0"/>
                <w:color w:val="000000" w:themeColor="text1"/>
                <w:sz w:val="21"/>
                <w:szCs w:val="21"/>
                <w:highlight w:val="none"/>
                <w:lang w:val="en-US" w:eastAsia="zh-CN"/>
                <w14:textFill>
                  <w14:solidFill>
                    <w14:schemeClr w14:val="tx1"/>
                  </w14:solidFill>
                </w14:textFill>
              </w:rPr>
              <w:t>①供应商提供有效期内的安全评价机构资质证书，不提供或未按要求提供不得分，本项最多得4分。（注：提供证书复印件并加盖单位公章）。（4分）</w:t>
            </w:r>
          </w:p>
          <w:p>
            <w:pPr>
              <w:pStyle w:val="3"/>
              <w:widowControl w:val="0"/>
              <w:tabs>
                <w:tab w:val="left" w:pos="600"/>
              </w:tabs>
              <w:spacing w:line="240" w:lineRule="auto"/>
              <w:ind w:left="0" w:leftChars="0" w:firstLine="0" w:firstLineChars="0"/>
              <w:jc w:val="left"/>
              <w:rPr>
                <w:rStyle w:val="9"/>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Style w:val="9"/>
                <w:rFonts w:hint="default" w:ascii="宋体" w:hAnsi="宋体" w:eastAsia="宋体" w:cs="宋体"/>
                <w:bCs w:val="0"/>
                <w:color w:val="000000" w:themeColor="text1"/>
                <w:sz w:val="21"/>
                <w:szCs w:val="21"/>
                <w:highlight w:val="none"/>
                <w:lang w:val="en-US" w:eastAsia="zh-CN"/>
                <w14:textFill>
                  <w14:solidFill>
                    <w14:schemeClr w14:val="tx1"/>
                  </w14:solidFill>
                </w14:textFill>
              </w:rPr>
              <w:t>②供应商有获得3A级企业信用等级证书得2分</w:t>
            </w:r>
            <w:r>
              <w:rPr>
                <w:rStyle w:val="9"/>
                <w:rFonts w:hint="eastAsia" w:ascii="宋体" w:hAnsi="宋体" w:eastAsia="宋体" w:cs="宋体"/>
                <w:bCs w:val="0"/>
                <w:color w:val="000000" w:themeColor="text1"/>
                <w:sz w:val="21"/>
                <w:szCs w:val="21"/>
                <w:highlight w:val="none"/>
                <w:lang w:val="en-US" w:eastAsia="zh-CN"/>
                <w14:textFill>
                  <w14:solidFill>
                    <w14:schemeClr w14:val="tx1"/>
                  </w14:solidFill>
                </w14:textFill>
              </w:rPr>
              <w:t>，供应商具备</w:t>
            </w:r>
            <w:r>
              <w:rPr>
                <w:rStyle w:val="9"/>
                <w:rFonts w:hint="default" w:ascii="宋体" w:hAnsi="宋体" w:eastAsia="宋体" w:cs="宋体"/>
                <w:bCs w:val="0"/>
                <w:color w:val="000000" w:themeColor="text1"/>
                <w:sz w:val="21"/>
                <w:szCs w:val="21"/>
                <w:highlight w:val="none"/>
                <w:lang w:val="en-US" w:eastAsia="zh-CN"/>
                <w14:textFill>
                  <w14:solidFill>
                    <w14:schemeClr w14:val="tx1"/>
                  </w14:solidFill>
                </w14:textFill>
              </w:rPr>
              <w:t>职业健康与安全管理体系认证、质量管理体系认证</w:t>
            </w:r>
            <w:r>
              <w:rPr>
                <w:rStyle w:val="9"/>
                <w:rFonts w:hint="eastAsia" w:ascii="宋体" w:hAnsi="宋体" w:eastAsia="宋体" w:cs="宋体"/>
                <w:bCs w:val="0"/>
                <w:color w:val="000000" w:themeColor="text1"/>
                <w:sz w:val="21"/>
                <w:szCs w:val="21"/>
                <w:highlight w:val="none"/>
                <w:lang w:val="en-US" w:eastAsia="zh-CN"/>
                <w14:textFill>
                  <w14:solidFill>
                    <w14:schemeClr w14:val="tx1"/>
                  </w14:solidFill>
                </w14:textFill>
              </w:rPr>
              <w:t>，环境管理体系认证，得2分。（4分）</w:t>
            </w:r>
          </w:p>
          <w:p>
            <w:pPr>
              <w:pStyle w:val="3"/>
              <w:widowControl w:val="0"/>
              <w:tabs>
                <w:tab w:val="left" w:pos="600"/>
              </w:tabs>
              <w:spacing w:line="240" w:lineRule="auto"/>
              <w:ind w:left="0" w:leftChars="0" w:firstLine="0" w:firstLineChars="0"/>
              <w:jc w:val="left"/>
              <w:rPr>
                <w:rStyle w:val="9"/>
                <w:rFonts w:hint="default" w:ascii="宋体" w:hAnsi="宋体" w:eastAsia="宋体" w:cs="宋体"/>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③供应商有获得过政府项目服务良好的证明文件的得2分。（2分）</w:t>
            </w:r>
          </w:p>
        </w:tc>
        <w:tc>
          <w:tcPr>
            <w:tcW w:w="1279" w:type="dxa"/>
            <w:vAlign w:val="center"/>
          </w:tcPr>
          <w:p>
            <w:pPr>
              <w:widowControl w:val="0"/>
              <w:spacing w:before="1" w:line="222" w:lineRule="auto"/>
              <w:jc w:val="center"/>
              <w:rPr>
                <w:rFonts w:hint="default" w:hAnsi="宋体" w:cs="宋体"/>
                <w:color w:val="000000" w:themeColor="text1"/>
                <w:spacing w:val="-7"/>
                <w:sz w:val="23"/>
                <w:szCs w:val="23"/>
                <w:highlight w:val="none"/>
                <w:vertAlign w:val="baseline"/>
                <w:lang w:val="en-US" w:eastAsia="zh-CN"/>
                <w14:textFill>
                  <w14:solidFill>
                    <w14:schemeClr w14:val="tx1"/>
                  </w14:solidFill>
                </w14:textFill>
              </w:rPr>
            </w:pPr>
            <w:r>
              <w:rPr>
                <w:rFonts w:hint="eastAsia" w:hAnsi="宋体" w:cs="宋体"/>
                <w:color w:val="000000" w:themeColor="text1"/>
                <w:spacing w:val="-7"/>
                <w:sz w:val="23"/>
                <w:szCs w:val="23"/>
                <w:highlight w:val="none"/>
                <w:vertAlign w:val="baseli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72" w:type="dxa"/>
            <w:vMerge w:val="continue"/>
            <w:vAlign w:val="center"/>
          </w:tcPr>
          <w:p>
            <w:pPr>
              <w:widowControl w:val="0"/>
              <w:spacing w:before="1" w:line="222" w:lineRule="auto"/>
              <w:jc w:val="center"/>
              <w:rPr>
                <w:rFonts w:ascii="宋体" w:hAnsi="宋体" w:eastAsia="宋体" w:cs="宋体"/>
                <w:color w:val="000000" w:themeColor="text1"/>
                <w:spacing w:val="-7"/>
                <w:sz w:val="23"/>
                <w:szCs w:val="23"/>
                <w:highlight w:val="none"/>
                <w:vertAlign w:val="baseline"/>
                <w14:textFill>
                  <w14:solidFill>
                    <w14:schemeClr w14:val="tx1"/>
                  </w14:solidFill>
                </w14:textFill>
              </w:rPr>
            </w:pPr>
          </w:p>
        </w:tc>
        <w:tc>
          <w:tcPr>
            <w:tcW w:w="996" w:type="dxa"/>
            <w:vAlign w:val="center"/>
          </w:tcPr>
          <w:p>
            <w:pPr>
              <w:widowControl w:val="0"/>
              <w:spacing w:before="1" w:line="222" w:lineRule="auto"/>
              <w:jc w:val="center"/>
              <w:rPr>
                <w:rFonts w:hint="eastAsia" w:hAnsi="宋体" w:eastAsia="宋体" w:cs="宋体"/>
                <w:color w:val="000000" w:themeColor="text1"/>
                <w:sz w:val="24"/>
                <w:szCs w:val="24"/>
                <w:highlight w:val="none"/>
                <w:lang w:val="en-US" w:eastAsia="zh-CN" w:bidi="ar-SA"/>
                <w14:textFill>
                  <w14:solidFill>
                    <w14:schemeClr w14:val="tx1"/>
                  </w14:solidFill>
                </w14:textFill>
              </w:rPr>
            </w:pPr>
            <w:r>
              <w:rPr>
                <w:rStyle w:val="9"/>
                <w:rFonts w:hint="eastAsia" w:ascii="Times New Roman" w:hAnsi="宋体" w:eastAsia="宋体" w:cs="宋体"/>
                <w:bCs w:val="0"/>
                <w:color w:val="000000" w:themeColor="text1"/>
                <w:sz w:val="24"/>
                <w:szCs w:val="24"/>
                <w:highlight w:val="none"/>
                <w:lang w:val="en-US" w:eastAsia="zh-CN"/>
                <w14:textFill>
                  <w14:solidFill>
                    <w14:schemeClr w14:val="tx1"/>
                  </w14:solidFill>
                </w14:textFill>
              </w:rPr>
              <w:t>人员配备</w:t>
            </w:r>
          </w:p>
        </w:tc>
        <w:tc>
          <w:tcPr>
            <w:tcW w:w="5200" w:type="dxa"/>
            <w:vAlign w:val="center"/>
          </w:tcPr>
          <w:p>
            <w:pPr>
              <w:widowControl w:val="0"/>
              <w:numPr>
                <w:ilvl w:val="0"/>
                <w:numId w:val="1"/>
              </w:numPr>
              <w:spacing w:line="240" w:lineRule="auto"/>
              <w:ind w:firstLine="0" w:firstLineChars="0"/>
              <w:jc w:val="left"/>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供应商拟派本项目的项目负责人具备</w:t>
            </w:r>
            <w:r>
              <w:rPr>
                <w:rFonts w:hint="eastAsia" w:hAnsi="宋体" w:cs="宋体"/>
                <w:color w:val="000000" w:themeColor="text1"/>
                <w:sz w:val="21"/>
                <w:szCs w:val="21"/>
                <w:highlight w:val="none"/>
                <w:lang w:val="en-US" w:eastAsia="zh-CN" w:bidi="ar-SA"/>
                <w14:textFill>
                  <w14:solidFill>
                    <w14:schemeClr w14:val="tx1"/>
                  </w14:solidFill>
                </w14:textFill>
              </w:rPr>
              <w:t>西藏自治区或拉萨市</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安全</w:t>
            </w:r>
            <w:r>
              <w:rPr>
                <w:rFonts w:hint="eastAsia" w:hAnsi="宋体" w:cs="宋体"/>
                <w:color w:val="000000" w:themeColor="text1"/>
                <w:sz w:val="21"/>
                <w:szCs w:val="21"/>
                <w:highlight w:val="none"/>
                <w:lang w:val="en-US" w:eastAsia="zh-CN" w:bidi="ar-SA"/>
                <w14:textFill>
                  <w14:solidFill>
                    <w14:schemeClr w14:val="tx1"/>
                  </w14:solidFill>
                </w14:textFill>
              </w:rPr>
              <w:t>相关</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专家证明得</w:t>
            </w:r>
            <w:r>
              <w:rPr>
                <w:rFonts w:hint="eastAsia" w:hAnsi="宋体" w:cs="宋体"/>
                <w:color w:val="000000" w:themeColor="text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分，具备一级安全评价师加</w:t>
            </w:r>
            <w:r>
              <w:rPr>
                <w:rFonts w:hint="eastAsia"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分，具备注册安全工程师加</w:t>
            </w:r>
            <w:r>
              <w:rPr>
                <w:rFonts w:hint="eastAsia"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分，本项最高得</w:t>
            </w:r>
            <w:r>
              <w:rPr>
                <w:rFonts w:hint="eastAsia" w:hAnsi="宋体" w:cs="宋体"/>
                <w:color w:val="000000" w:themeColor="text1"/>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w:t>
            </w:r>
            <w:r>
              <w:rPr>
                <w:rFonts w:hint="eastAsia" w:hAnsi="宋体" w:cs="宋体"/>
                <w:color w:val="000000" w:themeColor="text1"/>
                <w:sz w:val="21"/>
                <w:szCs w:val="21"/>
                <w:highlight w:val="none"/>
                <w:lang w:val="en-US" w:eastAsia="zh-CN" w:bidi="ar-SA"/>
                <w14:textFill>
                  <w14:solidFill>
                    <w14:schemeClr w14:val="tx1"/>
                  </w14:solidFill>
                </w14:textFill>
              </w:rPr>
              <w:t>；技术管理人员</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具备</w:t>
            </w:r>
            <w:r>
              <w:rPr>
                <w:rFonts w:hint="eastAsia" w:hAnsi="宋体" w:cs="宋体"/>
                <w:color w:val="000000" w:themeColor="text1"/>
                <w:sz w:val="21"/>
                <w:szCs w:val="21"/>
                <w:highlight w:val="none"/>
                <w:lang w:val="en-US" w:eastAsia="zh-CN" w:bidi="ar-SA"/>
                <w14:textFill>
                  <w14:solidFill>
                    <w14:schemeClr w14:val="tx1"/>
                  </w14:solidFill>
                </w14:textFill>
              </w:rPr>
              <w:t>西藏自治区或拉萨市</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安全</w:t>
            </w:r>
            <w:r>
              <w:rPr>
                <w:rFonts w:hint="eastAsia" w:hAnsi="宋体" w:cs="宋体"/>
                <w:color w:val="000000" w:themeColor="text1"/>
                <w:sz w:val="21"/>
                <w:szCs w:val="21"/>
                <w:highlight w:val="none"/>
                <w:lang w:val="en-US" w:eastAsia="zh-CN" w:bidi="ar-SA"/>
                <w14:textFill>
                  <w14:solidFill>
                    <w14:schemeClr w14:val="tx1"/>
                  </w14:solidFill>
                </w14:textFill>
              </w:rPr>
              <w:t>相</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关专家证明每1人得1分，最高4分。（8分）</w:t>
            </w:r>
          </w:p>
          <w:p>
            <w:pPr>
              <w:widowControl w:val="0"/>
              <w:numPr>
                <w:ilvl w:val="0"/>
                <w:numId w:val="0"/>
              </w:numPr>
              <w:spacing w:line="240" w:lineRule="auto"/>
              <w:jc w:val="left"/>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default" w:ascii="Calibri" w:hAnsi="Calibri" w:eastAsia="宋体" w:cs="Calibri"/>
                <w:color w:val="000000" w:themeColor="text1"/>
                <w:sz w:val="21"/>
                <w:szCs w:val="21"/>
                <w:highlight w:val="none"/>
                <w:lang w:val="en-US" w:eastAsia="zh-CN" w:bidi="ar-SA"/>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其他项目组成员具备注册安全工程师证书的，每有1人得</w:t>
            </w:r>
            <w:r>
              <w:rPr>
                <w:rFonts w:hint="eastAsia"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分，不提供不得分，本项最高得</w:t>
            </w:r>
            <w:r>
              <w:rPr>
                <w:rFonts w:hint="eastAsia" w:hAnsi="宋体" w:cs="宋体"/>
                <w:color w:val="000000" w:themeColor="text1"/>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w:t>
            </w:r>
            <w:r>
              <w:rPr>
                <w:rFonts w:hint="eastAsia" w:hAnsi="宋体" w:cs="宋体"/>
                <w:color w:val="000000" w:themeColor="text1"/>
                <w:sz w:val="21"/>
                <w:szCs w:val="21"/>
                <w:highlight w:val="none"/>
                <w:lang w:val="en-US" w:eastAsia="zh-CN" w:bidi="ar-SA"/>
                <w14:textFill>
                  <w14:solidFill>
                    <w14:schemeClr w14:val="tx1"/>
                  </w14:solidFill>
                </w14:textFill>
              </w:rPr>
              <w:t>（8分）</w:t>
            </w:r>
          </w:p>
          <w:p>
            <w:pPr>
              <w:widowControl w:val="0"/>
              <w:spacing w:line="240" w:lineRule="auto"/>
              <w:ind w:firstLine="0" w:firstLineChars="0"/>
              <w:jc w:val="left"/>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③.拟派项目组其他成员具备安全评价师证书的，每有1人得</w:t>
            </w:r>
            <w:r>
              <w:rPr>
                <w:rFonts w:hint="eastAsia" w:hAnsi="宋体" w:cs="宋体"/>
                <w:color w:val="000000" w:themeColor="text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分，不提供不得分，本项最高得</w:t>
            </w:r>
            <w:r>
              <w:rPr>
                <w:rFonts w:hint="eastAsia" w:hAnsi="宋体" w:cs="宋体"/>
                <w:color w:val="000000" w:themeColor="text1"/>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分。</w:t>
            </w:r>
            <w:r>
              <w:rPr>
                <w:rFonts w:hint="eastAsia" w:hAnsi="宋体" w:cs="宋体"/>
                <w:color w:val="000000" w:themeColor="text1"/>
                <w:sz w:val="21"/>
                <w:szCs w:val="21"/>
                <w:highlight w:val="none"/>
                <w:lang w:val="en-US" w:eastAsia="zh-CN" w:bidi="ar-SA"/>
                <w14:textFill>
                  <w14:solidFill>
                    <w14:schemeClr w14:val="tx1"/>
                  </w14:solidFill>
                </w14:textFill>
              </w:rPr>
              <w:t>（6分）</w:t>
            </w:r>
          </w:p>
          <w:p>
            <w:pPr>
              <w:widowControl w:val="0"/>
              <w:spacing w:line="240" w:lineRule="auto"/>
              <w:ind w:firstLine="0" w:firstLineChars="0"/>
              <w:jc w:val="left"/>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.拟派本项目其他成员具备消防类证书，每有1人得2分，不提供不得分，本项最高得分2分。</w:t>
            </w:r>
            <w:r>
              <w:rPr>
                <w:rFonts w:hint="eastAsia" w:hAnsi="宋体" w:cs="宋体"/>
                <w:color w:val="000000" w:themeColor="text1"/>
                <w:sz w:val="21"/>
                <w:szCs w:val="21"/>
                <w:highlight w:val="none"/>
                <w:lang w:val="en-US" w:eastAsia="zh-CN" w:bidi="ar-SA"/>
                <w14:textFill>
                  <w14:solidFill>
                    <w14:schemeClr w14:val="tx1"/>
                  </w14:solidFill>
                </w14:textFill>
              </w:rPr>
              <w:t>（2分）</w:t>
            </w:r>
          </w:p>
          <w:p>
            <w:pPr>
              <w:widowControl w:val="0"/>
              <w:spacing w:line="240" w:lineRule="auto"/>
              <w:ind w:firstLine="0" w:firstLineChars="0"/>
              <w:jc w:val="left"/>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注：项目人员不重复计分，如有重复的，按就高不就低的原则进行评审。提供相关人员</w:t>
            </w:r>
            <w:r>
              <w:rPr>
                <w:rFonts w:hint="eastAsia" w:hAnsi="宋体" w:cs="宋体"/>
                <w:color w:val="000000" w:themeColor="text1"/>
                <w:sz w:val="21"/>
                <w:szCs w:val="21"/>
                <w:highlight w:val="none"/>
                <w:lang w:val="en-US" w:eastAsia="zh-CN" w:bidi="ar-SA"/>
                <w14:textFill>
                  <w14:solidFill>
                    <w14:schemeClr w14:val="tx1"/>
                  </w14:solidFill>
                </w14:textFill>
              </w:rPr>
              <w:t>社保证明文件及</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证书复印件并加盖公章。</w:t>
            </w:r>
          </w:p>
        </w:tc>
        <w:tc>
          <w:tcPr>
            <w:tcW w:w="1279" w:type="dxa"/>
            <w:vAlign w:val="center"/>
          </w:tcPr>
          <w:p>
            <w:pPr>
              <w:widowControl w:val="0"/>
              <w:spacing w:before="1" w:line="222" w:lineRule="auto"/>
              <w:jc w:val="center"/>
              <w:rPr>
                <w:rFonts w:hint="default" w:ascii="宋体" w:hAnsi="宋体" w:eastAsia="宋体" w:cs="宋体"/>
                <w:color w:val="000000" w:themeColor="text1"/>
                <w:spacing w:val="-7"/>
                <w:sz w:val="23"/>
                <w:szCs w:val="23"/>
                <w:highlight w:val="none"/>
                <w:vertAlign w:val="baseline"/>
                <w:lang w:val="en-US"/>
                <w14:textFill>
                  <w14:solidFill>
                    <w14:schemeClr w14:val="tx1"/>
                  </w14:solidFill>
                </w14:textFill>
              </w:rPr>
            </w:pPr>
            <w:r>
              <w:rPr>
                <w:rFonts w:hint="eastAsia" w:hAnsi="宋体" w:cs="宋体"/>
                <w:color w:val="000000" w:themeColor="text1"/>
                <w:spacing w:val="-7"/>
                <w:sz w:val="23"/>
                <w:szCs w:val="23"/>
                <w:highlight w:val="none"/>
                <w:vertAlign w:val="baseline"/>
                <w:lang w:val="en-US" w:eastAsia="zh-CN"/>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72" w:type="dxa"/>
            <w:vAlign w:val="center"/>
          </w:tcPr>
          <w:p>
            <w:pPr>
              <w:widowControl w:val="0"/>
              <w:spacing w:before="1" w:line="222" w:lineRule="auto"/>
              <w:jc w:val="center"/>
              <w:rPr>
                <w:rFonts w:ascii="宋体" w:hAnsi="宋体" w:eastAsia="宋体" w:cs="宋体"/>
                <w:color w:val="000000" w:themeColor="text1"/>
                <w:spacing w:val="-7"/>
                <w:sz w:val="23"/>
                <w:szCs w:val="23"/>
                <w:highlight w:val="none"/>
                <w:vertAlign w:val="baseline"/>
                <w14:textFill>
                  <w14:solidFill>
                    <w14:schemeClr w14:val="tx1"/>
                  </w14:solidFill>
                </w14:textFill>
              </w:rPr>
            </w:pPr>
          </w:p>
        </w:tc>
        <w:tc>
          <w:tcPr>
            <w:tcW w:w="996" w:type="dxa"/>
            <w:vAlign w:val="center"/>
          </w:tcPr>
          <w:p>
            <w:pPr>
              <w:widowControl w:val="0"/>
              <w:spacing w:before="1" w:line="222" w:lineRule="auto"/>
              <w:jc w:val="center"/>
              <w:rPr>
                <w:rFonts w:hint="eastAsia" w:ascii="Times New Roman" w:hAnsi="宋体" w:eastAsia="宋体" w:cs="宋体"/>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报价</w:t>
            </w:r>
          </w:p>
        </w:tc>
        <w:tc>
          <w:tcPr>
            <w:tcW w:w="5200" w:type="dxa"/>
            <w:vAlign w:val="center"/>
          </w:tcPr>
          <w:p>
            <w:pPr>
              <w:widowControl w:val="0"/>
              <w:spacing w:line="240" w:lineRule="auto"/>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价格应当采用低价优先法计算，即满足</w:t>
            </w: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文件要求且投标价格最低的投标报价为评标基准价，其价格分为满分。其他投标人的价格分统一按照下列公式计算：投标报价得分=(评标基准价</w:t>
            </w:r>
            <w:r>
              <w:rPr>
                <w:rFonts w:hint="eastAsia"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投标报价)×0.</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×100评标过程中，不得去掉报价中的最高报价和最低报价。</w:t>
            </w:r>
          </w:p>
          <w:p>
            <w:pPr>
              <w:widowControl w:val="0"/>
              <w:spacing w:before="1" w:line="222" w:lineRule="auto"/>
              <w:jc w:val="left"/>
              <w:rPr>
                <w:rFonts w:hint="eastAsia" w:ascii="Times New Roman"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因落实政府采购政策进行价格调整的，以调整后的价格计算评标基准价和投标报价。</w:t>
            </w:r>
          </w:p>
        </w:tc>
        <w:tc>
          <w:tcPr>
            <w:tcW w:w="1279" w:type="dxa"/>
            <w:vAlign w:val="center"/>
          </w:tcPr>
          <w:p>
            <w:pPr>
              <w:widowControl w:val="0"/>
              <w:spacing w:before="1" w:line="222" w:lineRule="auto"/>
              <w:jc w:val="center"/>
              <w:rPr>
                <w:rFonts w:hint="eastAsia" w:ascii="宋体" w:hAnsi="宋体" w:eastAsia="宋体" w:cs="宋体"/>
                <w:color w:val="000000" w:themeColor="text1"/>
                <w:spacing w:val="-7"/>
                <w:sz w:val="23"/>
                <w:szCs w:val="23"/>
                <w:highlight w:val="none"/>
                <w:vertAlign w:val="baseline"/>
                <w:lang w:eastAsia="zh-CN"/>
                <w14:textFill>
                  <w14:solidFill>
                    <w14:schemeClr w14:val="tx1"/>
                  </w14:solidFill>
                </w14:textFill>
              </w:rPr>
            </w:pPr>
            <w:r>
              <w:rPr>
                <w:rFonts w:hint="eastAsia" w:ascii="宋体" w:hAnsi="宋体" w:eastAsia="宋体" w:cs="宋体"/>
                <w:color w:val="000000" w:themeColor="text1"/>
                <w:spacing w:val="-7"/>
                <w:sz w:val="23"/>
                <w:szCs w:val="23"/>
                <w:highlight w:val="none"/>
                <w:vertAlign w:val="baseli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168" w:type="dxa"/>
            <w:gridSpan w:val="3"/>
            <w:vAlign w:val="center"/>
          </w:tcPr>
          <w:p>
            <w:pPr>
              <w:widowControl w:val="0"/>
              <w:spacing w:before="1" w:line="222"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总分</w:t>
            </w:r>
          </w:p>
        </w:tc>
        <w:tc>
          <w:tcPr>
            <w:tcW w:w="1279" w:type="dxa"/>
            <w:vAlign w:val="center"/>
          </w:tcPr>
          <w:p>
            <w:pPr>
              <w:widowControl w:val="0"/>
              <w:spacing w:before="1" w:line="222" w:lineRule="auto"/>
              <w:jc w:val="center"/>
              <w:rPr>
                <w:rFonts w:hint="eastAsia" w:ascii="宋体" w:hAnsi="宋体" w:eastAsia="宋体" w:cs="宋体"/>
                <w:color w:val="000000" w:themeColor="text1"/>
                <w:spacing w:val="-7"/>
                <w:sz w:val="23"/>
                <w:szCs w:val="23"/>
                <w:highlight w:val="none"/>
                <w:vertAlign w:val="baseline"/>
                <w:lang w:val="en-US" w:eastAsia="zh-CN"/>
                <w14:textFill>
                  <w14:solidFill>
                    <w14:schemeClr w14:val="tx1"/>
                  </w14:solidFill>
                </w14:textFill>
              </w:rPr>
            </w:pPr>
            <w:r>
              <w:rPr>
                <w:rFonts w:hint="eastAsia" w:ascii="宋体" w:hAnsi="宋体" w:eastAsia="宋体" w:cs="宋体"/>
                <w:color w:val="000000" w:themeColor="text1"/>
                <w:spacing w:val="-7"/>
                <w:sz w:val="23"/>
                <w:szCs w:val="23"/>
                <w:highlight w:val="none"/>
                <w:vertAlign w:val="baseline"/>
                <w:lang w:val="en-US" w:eastAsia="zh-CN"/>
                <w14:textFill>
                  <w14:solidFill>
                    <w14:schemeClr w14:val="tx1"/>
                  </w14:solidFill>
                </w14:textFill>
              </w:rPr>
              <w:t>100</w:t>
            </w:r>
          </w:p>
        </w:tc>
      </w:tr>
    </w:tbl>
    <w:p/>
    <w:p>
      <w:pPr>
        <w:rPr>
          <w:rFonts w:hint="eastAsia" w:eastAsia="宋体"/>
          <w:lang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embedRegular r:id="rId1" w:fontKey="{6AE23556-D8B6-4EFA-A743-7FA38D8C0130}"/>
  </w:font>
  <w:font w:name="方正小标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1DA1CA77-EAEF-43F5-B82C-575BF6D91DAC}"/>
  </w:font>
  <w:font w:name="方正楷体_GBK">
    <w:panose1 w:val="03000509000000000000"/>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0435"/>
    <w:multiLevelType w:val="singleLevel"/>
    <w:tmpl w:val="DF770435"/>
    <w:lvl w:ilvl="0" w:tentative="0">
      <w:start w:val="1"/>
      <w:numFmt w:val="decimalEnclosedCircleChinese"/>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YTk2MjM4MzE2YjRlMGYzZmFjZTI0MDQ1OWUzN2YifQ=="/>
  </w:docVars>
  <w:rsids>
    <w:rsidRoot w:val="00000000"/>
    <w:rsid w:val="134578A4"/>
    <w:rsid w:val="186E2A14"/>
    <w:rsid w:val="1A911621"/>
    <w:rsid w:val="237123F7"/>
    <w:rsid w:val="2E8D3ABB"/>
    <w:rsid w:val="34BD5094"/>
    <w:rsid w:val="36DF5796"/>
    <w:rsid w:val="39BB7C75"/>
    <w:rsid w:val="577E46FF"/>
    <w:rsid w:val="5AB9552C"/>
    <w:rsid w:val="65633BAF"/>
    <w:rsid w:val="77892159"/>
    <w:rsid w:val="7AEA15E0"/>
    <w:rsid w:val="7C24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next w:val="1"/>
    <w:qFormat/>
    <w:uiPriority w:val="0"/>
    <w:pPr>
      <w:shd w:val="clear" w:color="auto" w:fill="000080"/>
    </w:pPr>
  </w:style>
  <w:style w:type="paragraph" w:styleId="3">
    <w:name w:val="Body Text Indent"/>
    <w:basedOn w:val="1"/>
    <w:next w:val="1"/>
    <w:qFormat/>
    <w:uiPriority w:val="0"/>
    <w:pPr>
      <w:ind w:firstLine="630"/>
    </w:pPr>
    <w:rPr>
      <w:sz w:val="32"/>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Table Text"/>
    <w:basedOn w:val="1"/>
    <w:qFormat/>
    <w:uiPriority w:val="0"/>
    <w:pPr>
      <w:widowControl/>
      <w:spacing w:before="60" w:after="60"/>
      <w:jc w:val="left"/>
    </w:p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2485</Words>
  <Characters>2539</Characters>
  <Lines>0</Lines>
  <Paragraphs>0</Paragraphs>
  <TotalTime>178</TotalTime>
  <ScaleCrop>false</ScaleCrop>
  <LinksUpToDate>false</LinksUpToDate>
  <CharactersWithSpaces>2575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2025-12-15T04:02:00Z</dcterms:created>
  <dc:creator>Administrator</dc:creator>
  <cp:lastModifiedBy>Administrator</cp:lastModifiedBy>
  <cp:lastPrinted>2025-12-18T01:38:00Z</cp:lastPrinted>
  <dcterms:modified xsi:type="dcterms:W3CDTF">2025-12-19T01:46:33Z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4609AA76020C42AD8A11918BC0896C6B_13</vt:lpwstr>
  </property>
</Properties>
</file>