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sz w:val="28"/>
          <w:szCs w:val="28"/>
          <w14:textFill>
            <w14:solidFill>
              <w14:schemeClr w14:val="tx1"/>
            </w14:solidFill>
          </w14:textFill>
        </w:rPr>
      </w:pPr>
      <w:bookmarkStart w:id="1" w:name="_GoBack"/>
      <w:r>
        <w:rPr>
          <w:rFonts w:hint="eastAsia" w:ascii="方正仿宋_GBK" w:hAnsi="方正仿宋_GBK" w:eastAsia="方正仿宋_GBK" w:cs="方正仿宋_GBK"/>
          <w:color w:val="000000" w:themeColor="text1"/>
          <w:sz w:val="28"/>
          <w:szCs w:val="28"/>
          <w14:textFill>
            <w14:solidFill>
              <w14:schemeClr w14:val="tx1"/>
            </w14:solidFill>
          </w14:textFill>
        </w:rPr>
        <w:t>附件：遴选办法具体内容</w:t>
      </w:r>
    </w:p>
    <w:bookmarkEnd w:id="1"/>
    <w:tbl>
      <w:tblPr>
        <w:tblStyle w:val="6"/>
        <w:tblW w:w="8959" w:type="dxa"/>
        <w:jc w:val="center"/>
        <w:tblLayout w:type="autofit"/>
        <w:tblCellMar>
          <w:top w:w="0" w:type="dxa"/>
          <w:left w:w="108" w:type="dxa"/>
          <w:bottom w:w="0" w:type="dxa"/>
          <w:right w:w="108" w:type="dxa"/>
        </w:tblCellMar>
      </w:tblPr>
      <w:tblGrid>
        <w:gridCol w:w="837"/>
        <w:gridCol w:w="1378"/>
        <w:gridCol w:w="5907"/>
        <w:gridCol w:w="837"/>
      </w:tblGrid>
      <w:tr>
        <w:tblPrEx>
          <w:tblCellMar>
            <w:top w:w="0" w:type="dxa"/>
            <w:left w:w="108" w:type="dxa"/>
            <w:bottom w:w="0" w:type="dxa"/>
            <w:right w:w="108" w:type="dxa"/>
          </w:tblCellMar>
        </w:tblPrEx>
        <w:trPr>
          <w:trHeight w:val="847" w:hRule="atLeast"/>
          <w:jc w:val="center"/>
        </w:trPr>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序号</w:t>
            </w:r>
          </w:p>
        </w:tc>
        <w:tc>
          <w:tcPr>
            <w:tcW w:w="13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评审部分</w:t>
            </w:r>
          </w:p>
        </w:tc>
        <w:tc>
          <w:tcPr>
            <w:tcW w:w="59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评审内容</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是否通过</w:t>
            </w:r>
          </w:p>
        </w:tc>
      </w:tr>
      <w:tr>
        <w:tblPrEx>
          <w:tblCellMar>
            <w:top w:w="0" w:type="dxa"/>
            <w:left w:w="108" w:type="dxa"/>
            <w:bottom w:w="0" w:type="dxa"/>
            <w:right w:w="108" w:type="dxa"/>
          </w:tblCellMar>
        </w:tblPrEx>
        <w:trPr>
          <w:trHeight w:val="3232"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000000" w:themeColor="text1"/>
                <w:sz w:val="24"/>
                <w:szCs w:val="24"/>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lang w:bidi="ar"/>
                <w14:textFill>
                  <w14:solidFill>
                    <w14:schemeClr w14:val="tx1"/>
                  </w14:solidFill>
                </w14:textFill>
              </w:rPr>
              <w:t>资格条件</w:t>
            </w:r>
          </w:p>
        </w:tc>
        <w:tc>
          <w:tcPr>
            <w:tcW w:w="5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1、本次遴选要求设计单位须具备建设行业主管部门颁发的</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市政</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行业工程设计</w:t>
            </w: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专业</w:t>
            </w:r>
            <w: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t>乙级（含乙级）及以上资质（提供有效的营业执照和资质证书）；</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2、三年（2021年至今）具有不少于3个与本项目类似的设计业绩（以中标通知书或合同为准）；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3、提供近三年（2021-2023年度，若企业成立不足三年则提供成立以来的财务报表）的经会计师事务所或审计机构审计的财务会计报告；</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4、须按照藏建市管〔2023〕62号完成企业资质信息报送。</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5、近三年（2021年度、2022年度、2023年度）企业未处于财产被接管、冻结、破产状态，并没有因违法违规或不诚信行为而被政府或业主宣布取消投标资格，以住房城乡建设部、信用中国网站（严重失信主体名单、经营异常名录、重大税收违法失信主体）查询截图为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color w:val="000000" w:themeColor="text1"/>
                <w:kern w:val="0"/>
                <w:sz w:val="24"/>
                <w:szCs w:val="24"/>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lang w:val="en-US" w:eastAsia="zh-CN" w:bidi="ar"/>
                <w14:textFill>
                  <w14:solidFill>
                    <w14:schemeClr w14:val="tx1"/>
                  </w14:solidFill>
                </w14:textFill>
              </w:rPr>
              <w:t>6、本项目不接受联合体。</w:t>
            </w:r>
          </w:p>
        </w:tc>
        <w:tc>
          <w:tcPr>
            <w:tcW w:w="8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sz w:val="24"/>
                <w:szCs w:val="24"/>
                <w14:textFill>
                  <w14:solidFill>
                    <w14:schemeClr w14:val="tx1"/>
                  </w14:solidFill>
                </w14:textFill>
              </w:rPr>
            </w:pPr>
            <w:r>
              <w:rPr>
                <w:rFonts w:hint="eastAsia" w:ascii="方正仿宋_GBK" w:hAnsi="方正仿宋_GBK" w:eastAsia="方正仿宋_GBK" w:cs="方正仿宋_GBK"/>
                <w:color w:val="000000" w:themeColor="text1"/>
                <w:sz w:val="24"/>
                <w:szCs w:val="24"/>
                <w14:textFill>
                  <w14:solidFill>
                    <w14:schemeClr w14:val="tx1"/>
                  </w14:solidFill>
                </w14:textFill>
              </w:rPr>
              <w:t>/</w:t>
            </w:r>
          </w:p>
        </w:tc>
      </w:tr>
      <w:tr>
        <w:tblPrEx>
          <w:tblCellMar>
            <w:top w:w="0" w:type="dxa"/>
            <w:left w:w="108" w:type="dxa"/>
            <w:bottom w:w="0" w:type="dxa"/>
            <w:right w:w="108" w:type="dxa"/>
          </w:tblCellMar>
        </w:tblPrEx>
        <w:trPr>
          <w:trHeight w:val="1295" w:hRule="atLeast"/>
          <w:jc w:val="center"/>
        </w:trPr>
        <w:tc>
          <w:tcPr>
            <w:tcW w:w="895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通过资格条件评审的才能进入详细评审，详细评审总得分100分，分值如下：</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商务部分：</w:t>
            </w:r>
            <w:r>
              <w:rPr>
                <w:rFonts w:hint="eastAsia" w:ascii="方正仿宋_GBK" w:hAnsi="方正仿宋_GBK" w:eastAsia="方正仿宋_GBK" w:cs="方正仿宋_GBK"/>
                <w:b/>
                <w:bCs/>
                <w:color w:val="000000" w:themeColor="text1"/>
                <w:kern w:val="0"/>
                <w:sz w:val="24"/>
                <w:szCs w:val="24"/>
                <w:highlight w:val="none"/>
                <w:lang w:val="en-US" w:eastAsia="zh-CN" w:bidi="ar"/>
                <w14:textFill>
                  <w14:solidFill>
                    <w14:schemeClr w14:val="tx1"/>
                  </w14:solidFill>
                </w14:textFill>
              </w:rPr>
              <w:t>24</w:t>
            </w: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技术部分（</w:t>
            </w:r>
            <w:r>
              <w:rPr>
                <w:rFonts w:hint="eastAsia" w:ascii="方正仿宋_GBK" w:hAnsi="方正仿宋_GBK" w:eastAsia="方正仿宋_GBK" w:cs="方正仿宋_GBK"/>
                <w:b/>
                <w:bCs/>
                <w:color w:val="000000" w:themeColor="text1"/>
                <w:kern w:val="0"/>
                <w:sz w:val="24"/>
                <w:szCs w:val="24"/>
                <w:highlight w:val="none"/>
                <w:lang w:val="en-US" w:eastAsia="zh-CN" w:bidi="ar"/>
                <w14:textFill>
                  <w14:solidFill>
                    <w14:schemeClr w14:val="tx1"/>
                  </w14:solidFill>
                </w14:textFill>
              </w:rPr>
              <w:t>设计</w:t>
            </w: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大纲）：</w:t>
            </w:r>
            <w:r>
              <w:rPr>
                <w:rFonts w:hint="eastAsia" w:ascii="方正仿宋_GBK" w:hAnsi="方正仿宋_GBK" w:eastAsia="方正仿宋_GBK" w:cs="方正仿宋_GBK"/>
                <w:b/>
                <w:bCs/>
                <w:color w:val="000000" w:themeColor="text1"/>
                <w:kern w:val="0"/>
                <w:sz w:val="24"/>
                <w:szCs w:val="24"/>
                <w:highlight w:val="none"/>
                <w:lang w:val="en-US" w:eastAsia="zh-CN" w:bidi="ar"/>
                <w14:textFill>
                  <w14:solidFill>
                    <w14:schemeClr w14:val="tx1"/>
                  </w14:solidFill>
                </w14:textFill>
              </w:rPr>
              <w:t>66</w:t>
            </w: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分</w:t>
            </w:r>
          </w:p>
          <w:p>
            <w:pPr>
              <w:keepNext w:val="0"/>
              <w:keepLines w:val="0"/>
              <w:pageBreakBefore w:val="0"/>
              <w:widowControl/>
              <w:kinsoku/>
              <w:wordWrap/>
              <w:overflowPunct/>
              <w:topLinePunct w:val="0"/>
              <w:autoSpaceDE/>
              <w:autoSpaceDN/>
              <w:bidi w:val="0"/>
              <w:adjustRightInd/>
              <w:snapToGrid/>
              <w:spacing w:line="576" w:lineRule="exact"/>
              <w:jc w:val="both"/>
              <w:textAlignment w:val="cente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b/>
                <w:bCs/>
                <w:color w:val="000000" w:themeColor="text1"/>
                <w:kern w:val="0"/>
                <w:sz w:val="24"/>
                <w:szCs w:val="24"/>
                <w:highlight w:val="none"/>
                <w:lang w:val="en-US" w:eastAsia="zh-CN" w:bidi="ar"/>
                <w14:textFill>
                  <w14:solidFill>
                    <w14:schemeClr w14:val="tx1"/>
                  </w14:solidFill>
                </w14:textFill>
              </w:rPr>
              <w:t>设计</w:t>
            </w: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投标报价：1</w:t>
            </w:r>
            <w:r>
              <w:rPr>
                <w:rFonts w:hint="eastAsia" w:ascii="方正仿宋_GBK" w:hAnsi="方正仿宋_GBK" w:eastAsia="方正仿宋_GBK" w:cs="方正仿宋_GBK"/>
                <w:b/>
                <w:bCs/>
                <w:color w:val="000000" w:themeColor="text1"/>
                <w:kern w:val="0"/>
                <w:sz w:val="24"/>
                <w:szCs w:val="24"/>
                <w:highlight w:val="none"/>
                <w:lang w:val="en-US" w:eastAsia="zh-CN" w:bidi="ar"/>
                <w14:textFill>
                  <w14:solidFill>
                    <w14:schemeClr w14:val="tx1"/>
                  </w14:solidFill>
                </w14:textFill>
              </w:rPr>
              <w:t>0</w:t>
            </w:r>
            <w:r>
              <w:rPr>
                <w:rFonts w:hint="eastAsia" w:ascii="方正仿宋_GBK" w:hAnsi="方正仿宋_GBK" w:eastAsia="方正仿宋_GBK" w:cs="方正仿宋_GBK"/>
                <w:b/>
                <w:bCs/>
                <w:color w:val="000000" w:themeColor="text1"/>
                <w:kern w:val="0"/>
                <w:sz w:val="24"/>
                <w:szCs w:val="24"/>
                <w:highlight w:val="none"/>
                <w:lang w:bidi="ar"/>
                <w14:textFill>
                  <w14:solidFill>
                    <w14:schemeClr w14:val="tx1"/>
                  </w14:solidFill>
                </w14:textFill>
              </w:rPr>
              <w:t>分</w:t>
            </w:r>
          </w:p>
        </w:tc>
      </w:tr>
    </w:tbl>
    <w:tbl>
      <w:tblPr>
        <w:tblStyle w:val="7"/>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76"/>
        <w:gridCol w:w="1517"/>
        <w:gridCol w:w="36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gridSpan w:val="2"/>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bookmarkStart w:id="0" w:name="_Hlk148612614"/>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条款号</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评审因素</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评审标准</w:t>
            </w:r>
          </w:p>
        </w:tc>
        <w:tc>
          <w:tcPr>
            <w:tcW w:w="1596" w:type="dxa"/>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标准分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84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2.1</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商务部分评审（</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24</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分）</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人员配置</w:t>
            </w:r>
          </w:p>
        </w:tc>
        <w:tc>
          <w:tcPr>
            <w:tcW w:w="3696" w:type="dxa"/>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1、项目负责人：具有</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市政</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类高级职称得3分，中级职称得2分。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2、技术负责人：具有</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市政</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类中级职称得3分。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3、造价负责人：具有全国注册二级造价工程师证书得4分。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4、除项目负责人以外，团队配置每增加一名高级职称人员得2分，每增加一名中级职称人员得1分，本项满分3分。</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注：以上要求的执业资格、职称证书复印件，以上证明材料复印件加盖公章。</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84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276" w:type="dxa"/>
            <w:vMerge w:val="continue"/>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履约能力</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供应商提供（2020年1月起至今）的类似项目业绩，具有类似项目整体设计业绩，每提供1项得2分，最高得4分；具有类似项目可行性研究报告编制业绩，每提供1项得2分，最高得4分；不提供者不得分。注：以加盖公章的业绩合同复印件或扫描件为准，时间以业绩合同签订日期为准。</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84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276" w:type="dxa"/>
            <w:vMerge w:val="continue"/>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服务响应承诺</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供应商提供设计服务时间、可行性研究报告编制承诺，可行性研究报告编制、设计全过程服务完善，响应时间积极、满足项目需求，有承诺响应时间的得3分；不提供不得分。</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4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2.2</w:t>
            </w:r>
          </w:p>
        </w:tc>
        <w:tc>
          <w:tcPr>
            <w:tcW w:w="1276" w:type="dxa"/>
            <w:vMerge w:val="restart"/>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技术部分</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66</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分）</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 xml:space="preserve">     </w:t>
            </w: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项目总体实施方案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根据实施方案进行评审，包括但不限于：①工作流程；②技术方案与路线；③编制服务的总体思路和部署；④工作任务与目标；⑤质量控制和效率控制；⑥保密措施；以上全部内容详细合理、符合项目实际需求的得24分，每缺少一项或不满足要求的或方案脱离实际的扣4分，每有一项内容存在缺陷或不足的扣3分，直至扣完为止。</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满分24分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84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设计方案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评审</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小组根据供应商提供的符合现行国家技术规范标准的设计方案进行综合评审：包括：①项目理解与分析；②项目设计思路的准确性；③设计初步方案；④重点难点分析；⑤类似工程设计案例研究等；以上5项内容为专门针对本项目编制，符合本项目实际情况，能够保障项目顺利实施的得15分，缺少一项内容扣3分，每有一项内容存在缺陷扣2分，扣完为止。</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84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进度计划和保证措施</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评审</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小组根据供应商针对本项目提供的进度计划和保证措施进行综合评审；包括但不限于：①进度安排计划、②各环节进度保障措施、③与采购人的沟通以及协调等；以上3项内容为专门针对本项目编制，符合本项目实际情况，能够保障项目顺利实施的得9分，缺少一项内容扣3分，每有一项内容存在缺陷扣2分，扣完为止。</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组织机构设置</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评审</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小组根据供应商针对本项目提供的组织机构设置进行综合评审；包括但不限于：①组织机构；②人员配备；③工作流程；④岗位职责与分工等；以上4项内容为专门针对本项目编制，符合本项目实际情况，能够保障项目顺利实施的得12分，缺少一项内容扣3分，每有一项内容存在缺陷扣2分，扣完为止。</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517"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eastAsia="zh-CN"/>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后续服务方案</w:t>
            </w:r>
          </w:p>
        </w:tc>
        <w:tc>
          <w:tcPr>
            <w:tcW w:w="36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评审</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小组根据供应商针对本项目提供的后续服务方案进行综合评审；包括但不限于：①后续服务的内容、②后续服务人员组成；③后续服务保证措施等；以上3项内容为专门针对本项目编制，符合本项目实际情况，能够保障项目顺利实施的得6分，缺少一项内容扣2分，每有一项内容存在缺陷扣1分，扣完为止。</w:t>
            </w:r>
          </w:p>
        </w:tc>
        <w:tc>
          <w:tcPr>
            <w:tcW w:w="159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满分6分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84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1276" w:type="dxa"/>
            <w:vMerge w:val="continue"/>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p>
        </w:tc>
        <w:tc>
          <w:tcPr>
            <w:tcW w:w="6809" w:type="dxa"/>
            <w:gridSpan w:val="3"/>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注：</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技术部分</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缺陷是指：内容与项目无关、逻辑错误、科学原理错误、表述错误、不符合本项目涉及的相关规范或标准要求的任意一种情形。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2.4</w:t>
            </w:r>
          </w:p>
        </w:tc>
        <w:tc>
          <w:tcPr>
            <w:tcW w:w="2793" w:type="dxa"/>
            <w:gridSpan w:val="2"/>
            <w:vAlign w:val="center"/>
          </w:tcPr>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报价部分评分（1</w:t>
            </w:r>
            <w:r>
              <w:rPr>
                <w:rFonts w:hint="eastAsia" w:ascii="方正仿宋_GBK" w:hAnsi="方正仿宋_GBK" w:eastAsia="方正仿宋_GBK" w:cs="方正仿宋_GBK"/>
                <w:color w:val="000000" w:themeColor="text1"/>
                <w:kern w:val="0"/>
                <w:sz w:val="24"/>
                <w:szCs w:val="24"/>
                <w:highlight w:val="none"/>
                <w:lang w:val="en-US" w:eastAsia="zh-CN"/>
                <w14:textFill>
                  <w14:solidFill>
                    <w14:schemeClr w14:val="tx1"/>
                  </w14:solidFill>
                </w14:textFill>
              </w:rPr>
              <w:t>0</w:t>
            </w:r>
            <w:r>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t>分）</w:t>
            </w:r>
          </w:p>
        </w:tc>
        <w:tc>
          <w:tcPr>
            <w:tcW w:w="5292" w:type="dxa"/>
            <w:gridSpan w:val="2"/>
          </w:tcPr>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采用内插法（先计算评标基准价，再计算偏差率，再上浮下浮扣分）；</w:t>
            </w:r>
          </w:p>
          <w:p>
            <w:pPr>
              <w:pStyle w:val="12"/>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14:textFill>
                  <w14:solidFill>
                    <w14:schemeClr w14:val="tx1"/>
                  </w14:solidFill>
                </w14:textFill>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评标价 = 投标函中的投标报价 ；</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基准价=所有有效评标价的平均值；</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平均值：当投标单位家数＜7家时直接计算平均值；当投标单位家数≥7家时去掉一家报价最高值，去掉一家报价最低值，然后计算平均值；</w:t>
            </w:r>
          </w:p>
          <w:p>
            <w:pPr>
              <w:pStyle w:val="12"/>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14:textFill>
                  <w14:solidFill>
                    <w14:schemeClr w14:val="tx1"/>
                  </w14:solidFill>
                </w14:textFill>
              </w:rPr>
              <w:t>窗体顶端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 xml:space="preserve">偏差率=(投标人的评标价-评标基准价)/评标基准价*100% </w:t>
            </w:r>
          </w:p>
          <w:p>
            <w:pPr>
              <w:pStyle w:val="13"/>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highlight w:val="none"/>
                <w14:textFill>
                  <w14:solidFill>
                    <w14:schemeClr w14:val="tx1"/>
                  </w14:solidFill>
                </w14:textFill>
              </w:rPr>
              <w:t>窗体底端</w:t>
            </w:r>
          </w:p>
          <w:p>
            <w:pPr>
              <w:keepNext w:val="0"/>
              <w:keepLines w:val="0"/>
              <w:pageBreakBefore w:val="0"/>
              <w:widowControl/>
              <w:numPr>
                <w:ilvl w:val="0"/>
                <w:numId w:val="1"/>
              </w:numPr>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评标价得分计算公式：</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如果投标人的评标价≥评标基准价，则评标价得分=F-偏差率*E1；E1=0.01</w:t>
            </w:r>
          </w:p>
          <w:p>
            <w:pPr>
              <w:keepNext w:val="0"/>
              <w:keepLines w:val="0"/>
              <w:pageBreakBefore w:val="0"/>
              <w:widowControl/>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如果投标人的评标价＜评标基准价，则评标价得分=F+偏差率*E2；E2=0.01</w:t>
            </w:r>
          </w:p>
          <w:p>
            <w:pPr>
              <w:keepNext w:val="0"/>
              <w:keepLines w:val="0"/>
              <w:pageBreakBefore w:val="0"/>
              <w:kinsoku/>
              <w:wordWrap/>
              <w:overflowPunct/>
              <w:topLinePunct w:val="0"/>
              <w:autoSpaceDE/>
              <w:autoSpaceDN/>
              <w:bidi w:val="0"/>
              <w:adjustRightInd/>
              <w:snapToGrid/>
              <w:spacing w:line="576" w:lineRule="exact"/>
              <w:jc w:val="both"/>
              <w:rPr>
                <w:rFonts w:hint="eastAsia" w:ascii="方正仿宋_GBK" w:hAnsi="方正仿宋_GBK" w:eastAsia="方正仿宋_GBK" w:cs="方正仿宋_GBK"/>
                <w:color w:val="000000" w:themeColor="text1"/>
                <w:kern w:val="0"/>
                <w:sz w:val="24"/>
                <w:szCs w:val="24"/>
                <w:highlight w:val="none"/>
                <w14:textFill>
                  <w14:solidFill>
                    <w14:schemeClr w14:val="tx1"/>
                  </w14:solidFill>
                </w14:textFill>
              </w:rPr>
            </w:pPr>
            <w:r>
              <w:rPr>
                <w:rFonts w:hint="eastAsia" w:ascii="方正仿宋_GBK" w:hAnsi="方正仿宋_GBK" w:eastAsia="方正仿宋_GBK" w:cs="方正仿宋_GBK"/>
                <w:color w:val="000000" w:themeColor="text1"/>
                <w:kern w:val="0"/>
                <w:sz w:val="24"/>
                <w:szCs w:val="24"/>
                <w:highlight w:val="none"/>
                <w:lang w:bidi="ar"/>
                <w14:textFill>
                  <w14:solidFill>
                    <w14:schemeClr w14:val="tx1"/>
                  </w14:solidFill>
                </w14:textFill>
              </w:rPr>
              <w:t>其中F是评标价所占的权重分值，E1是评标价每高于评标基准价一个百分点的扣分值，E2是评标价每低于评标基准价一个百分点的扣分值。</w:t>
            </w:r>
          </w:p>
        </w:tc>
      </w:tr>
      <w:bookmarkEnd w:id="0"/>
    </w:tbl>
    <w:p>
      <w:pPr>
        <w:keepNext w:val="0"/>
        <w:keepLines w:val="0"/>
        <w:pageBreakBefore w:val="0"/>
        <w:kinsoku/>
        <w:wordWrap/>
        <w:overflowPunct/>
        <w:topLinePunct w:val="0"/>
        <w:autoSpaceDE/>
        <w:autoSpaceDN/>
        <w:bidi w:val="0"/>
        <w:adjustRightInd/>
        <w:snapToGrid/>
        <w:spacing w:line="576" w:lineRule="exact"/>
        <w:jc w:val="both"/>
        <w:rPr>
          <w:rFonts w:hint="default" w:ascii="Times New Roman" w:hAnsi="Times New Roman" w:eastAsia="仿宋_GB2312" w:cs="Times New Roman"/>
          <w:color w:val="000000" w:themeColor="text1"/>
          <w:highlight w:val="none"/>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1" w:fontKey="{BF5269A9-50A9-4169-B2CA-FDD68BC2ACEE}"/>
  </w:font>
  <w:font w:name="仿宋_GB2312">
    <w:panose1 w:val="02010609030101010101"/>
    <w:charset w:val="86"/>
    <w:family w:val="auto"/>
    <w:pitch w:val="default"/>
    <w:sig w:usb0="00000001" w:usb1="080E0000" w:usb2="00000000" w:usb3="00000000" w:csb0="00040000" w:csb1="00000000"/>
    <w:embedRegular r:id="rId2" w:fontKey="{09F41D5A-A44D-4CE9-B105-70668BE5F2D2}"/>
  </w:font>
  <w:font w:name="Arial Rounded MT Bold">
    <w:panose1 w:val="020F07040305040302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1"/>
    <w:multiLevelType w:val="singleLevel"/>
    <w:tmpl w:val="0000001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YTk2MjM4MzE2YjRlMGYzZmFjZTI0MDQ1OWUzN2YifQ=="/>
  </w:docVars>
  <w:rsids>
    <w:rsidRoot w:val="00120B25"/>
    <w:rsid w:val="001111AF"/>
    <w:rsid w:val="00120B25"/>
    <w:rsid w:val="00155447"/>
    <w:rsid w:val="001E3E49"/>
    <w:rsid w:val="002A7B6C"/>
    <w:rsid w:val="00330461"/>
    <w:rsid w:val="00337DBD"/>
    <w:rsid w:val="0038578A"/>
    <w:rsid w:val="003F632E"/>
    <w:rsid w:val="00413679"/>
    <w:rsid w:val="00413A10"/>
    <w:rsid w:val="0041417C"/>
    <w:rsid w:val="00482632"/>
    <w:rsid w:val="00540B99"/>
    <w:rsid w:val="006D2013"/>
    <w:rsid w:val="008531B1"/>
    <w:rsid w:val="00881E65"/>
    <w:rsid w:val="008C47E7"/>
    <w:rsid w:val="00954305"/>
    <w:rsid w:val="00987989"/>
    <w:rsid w:val="00AD60B1"/>
    <w:rsid w:val="00AF0572"/>
    <w:rsid w:val="00B91A19"/>
    <w:rsid w:val="00D221EA"/>
    <w:rsid w:val="00D9473C"/>
    <w:rsid w:val="00DB7914"/>
    <w:rsid w:val="00E61011"/>
    <w:rsid w:val="00E7383B"/>
    <w:rsid w:val="00E7767F"/>
    <w:rsid w:val="00E80CAD"/>
    <w:rsid w:val="00EB6E1B"/>
    <w:rsid w:val="00FA4C58"/>
    <w:rsid w:val="0DFEE9CA"/>
    <w:rsid w:val="1057106E"/>
    <w:rsid w:val="1DFA893E"/>
    <w:rsid w:val="2E7F6821"/>
    <w:rsid w:val="330E0041"/>
    <w:rsid w:val="332848FF"/>
    <w:rsid w:val="33B66286"/>
    <w:rsid w:val="33FBCCF0"/>
    <w:rsid w:val="39FC78CA"/>
    <w:rsid w:val="3DDB7A17"/>
    <w:rsid w:val="3F7246F8"/>
    <w:rsid w:val="3FDBFF0D"/>
    <w:rsid w:val="4D53976C"/>
    <w:rsid w:val="4FFED007"/>
    <w:rsid w:val="53E0F545"/>
    <w:rsid w:val="56DFB920"/>
    <w:rsid w:val="5D3FB737"/>
    <w:rsid w:val="5DFF2768"/>
    <w:rsid w:val="5FD6C8F8"/>
    <w:rsid w:val="62C05BCC"/>
    <w:rsid w:val="688D38DD"/>
    <w:rsid w:val="6EFF4CCA"/>
    <w:rsid w:val="6F277902"/>
    <w:rsid w:val="6F8C598F"/>
    <w:rsid w:val="6FBF7FBA"/>
    <w:rsid w:val="6FD10050"/>
    <w:rsid w:val="6FED1F64"/>
    <w:rsid w:val="75D315DC"/>
    <w:rsid w:val="777F6745"/>
    <w:rsid w:val="77F731E6"/>
    <w:rsid w:val="77FDDF7B"/>
    <w:rsid w:val="79775D34"/>
    <w:rsid w:val="79EF980E"/>
    <w:rsid w:val="7AFB258E"/>
    <w:rsid w:val="7BDF58D5"/>
    <w:rsid w:val="7BFDFD4B"/>
    <w:rsid w:val="7CFFB089"/>
    <w:rsid w:val="7CFFF885"/>
    <w:rsid w:val="7D5FBA87"/>
    <w:rsid w:val="7DEF4EA0"/>
    <w:rsid w:val="7E89B650"/>
    <w:rsid w:val="7E8F908D"/>
    <w:rsid w:val="7EFF14E4"/>
    <w:rsid w:val="7FBFDD3D"/>
    <w:rsid w:val="7FCEC2E3"/>
    <w:rsid w:val="7FEB2C36"/>
    <w:rsid w:val="7FF4475C"/>
    <w:rsid w:val="7FF9114F"/>
    <w:rsid w:val="7FFD9EA7"/>
    <w:rsid w:val="9BDF9D82"/>
    <w:rsid w:val="AF3D9AC8"/>
    <w:rsid w:val="CFAFE0CF"/>
    <w:rsid w:val="DAFB0DC4"/>
    <w:rsid w:val="DFB718D9"/>
    <w:rsid w:val="E7B6E3EF"/>
    <w:rsid w:val="E9BAFCB7"/>
    <w:rsid w:val="EAFF307A"/>
    <w:rsid w:val="EBF915A1"/>
    <w:rsid w:val="EF4B6B42"/>
    <w:rsid w:val="EF6371BA"/>
    <w:rsid w:val="EFF362C9"/>
    <w:rsid w:val="F1F8536B"/>
    <w:rsid w:val="F3FE67F2"/>
    <w:rsid w:val="F6D725D5"/>
    <w:rsid w:val="F6FE94D2"/>
    <w:rsid w:val="F7DBC545"/>
    <w:rsid w:val="F93C21A1"/>
    <w:rsid w:val="FA955FDB"/>
    <w:rsid w:val="FB7B89C6"/>
    <w:rsid w:val="FBD7F198"/>
    <w:rsid w:val="FC9F035D"/>
    <w:rsid w:val="FEFF147C"/>
    <w:rsid w:val="FF3F1BAE"/>
    <w:rsid w:val="FF6D29CF"/>
    <w:rsid w:val="FFBEC3DE"/>
    <w:rsid w:val="FFDFF934"/>
    <w:rsid w:val="FFFDE146"/>
    <w:rsid w:val="FFFFC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character" w:customStyle="1" w:styleId="11">
    <w:name w:val="fontstyle01"/>
    <w:basedOn w:val="8"/>
    <w:qFormat/>
    <w:uiPriority w:val="0"/>
    <w:rPr>
      <w:rFonts w:hint="eastAsia" w:ascii="宋体" w:hAnsi="宋体" w:eastAsia="宋体"/>
      <w:color w:val="000000"/>
      <w:sz w:val="24"/>
      <w:szCs w:val="24"/>
    </w:rPr>
  </w:style>
  <w:style w:type="paragraph" w:customStyle="1" w:styleId="12">
    <w:name w:val="_Style 2"/>
    <w:basedOn w:val="1"/>
    <w:next w:val="1"/>
    <w:qFormat/>
    <w:uiPriority w:val="0"/>
    <w:pPr>
      <w:pBdr>
        <w:bottom w:val="single" w:color="auto" w:sz="6" w:space="1"/>
      </w:pBdr>
      <w:jc w:val="center"/>
    </w:pPr>
    <w:rPr>
      <w:rFonts w:ascii="Arial" w:hAnsi="Times New Roman" w:eastAsia="宋体" w:cs="Times New Roman"/>
      <w:vanish/>
      <w:sz w:val="16"/>
      <w:szCs w:val="24"/>
    </w:rPr>
  </w:style>
  <w:style w:type="paragraph" w:customStyle="1" w:styleId="13">
    <w:name w:val="_Style 3"/>
    <w:basedOn w:val="1"/>
    <w:next w:val="1"/>
    <w:qFormat/>
    <w:uiPriority w:val="0"/>
    <w:pPr>
      <w:pBdr>
        <w:top w:val="single" w:color="auto" w:sz="6" w:space="1"/>
      </w:pBdr>
      <w:jc w:val="center"/>
    </w:pPr>
    <w:rPr>
      <w:rFonts w:ascii="Arial" w:hAnsi="Times New Roman" w:eastAsia="宋体" w:cs="Times New Roman"/>
      <w:vanish/>
      <w:sz w:val="16"/>
      <w:szCs w:val="24"/>
    </w:rPr>
  </w:style>
  <w:style w:type="character" w:customStyle="1" w:styleId="14">
    <w:name w:val="标题 1 字符"/>
    <w:basedOn w:val="8"/>
    <w:link w:val="2"/>
    <w:qFormat/>
    <w:uiPriority w:val="9"/>
    <w:rPr>
      <w:rFonts w:ascii="宋体" w:hAnsi="宋体" w:eastAsia="宋体" w:cs="宋体"/>
      <w:b/>
      <w:bCs/>
      <w:kern w:val="36"/>
      <w:sz w:val="48"/>
      <w:szCs w:val="4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2846</Words>
  <Characters>2973</Characters>
  <Lines>22</Lines>
  <Paragraphs>6</Paragraphs>
  <TotalTime>46</TotalTime>
  <ScaleCrop>false</ScaleCrop>
  <LinksUpToDate>false</LinksUpToDate>
  <CharactersWithSpaces>2982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2024-06-27T17:47:00Z</dcterms:created>
  <dc:creator>kang sun</dc:creator>
  <cp:lastModifiedBy>Administrator</cp:lastModifiedBy>
  <dcterms:modified xsi:type="dcterms:W3CDTF">2025-01-22T11:48:05Z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0B522DBCD5B241E08B3ECA4E82DECC6F_13</vt:lpwstr>
  </property>
</Properties>
</file>